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C1" w:rsidRPr="008D7E0B" w:rsidRDefault="00073BA9">
      <w:pPr>
        <w:rPr>
          <w:b/>
          <w:sz w:val="28"/>
          <w:szCs w:val="28"/>
          <w:lang w:val="en-US"/>
        </w:rPr>
      </w:pPr>
      <w:bookmarkStart w:id="0" w:name="_GoBack"/>
      <w:bookmarkEnd w:id="0"/>
      <w:r w:rsidRPr="008D7E0B">
        <w:rPr>
          <w:b/>
          <w:sz w:val="28"/>
          <w:szCs w:val="28"/>
          <w:lang w:val="en-US"/>
        </w:rPr>
        <w:t>Working Paper CLIO-INFRA</w:t>
      </w:r>
      <w:r w:rsidR="009950B1">
        <w:rPr>
          <w:b/>
          <w:sz w:val="28"/>
          <w:szCs w:val="28"/>
          <w:lang w:val="en-US"/>
        </w:rPr>
        <w:t>: GDP per Capita</w:t>
      </w:r>
    </w:p>
    <w:p w:rsidR="0022249F" w:rsidRDefault="0022249F" w:rsidP="0022249F">
      <w:pPr>
        <w:rPr>
          <w:b/>
          <w:lang w:val="en-US"/>
        </w:rPr>
      </w:pPr>
    </w:p>
    <w:p w:rsidR="0022249F" w:rsidRPr="00E42E4F" w:rsidRDefault="0022249F" w:rsidP="0022249F">
      <w:pPr>
        <w:rPr>
          <w:lang w:val="en-US"/>
        </w:rPr>
      </w:pPr>
      <w:r w:rsidRPr="00E42E4F">
        <w:rPr>
          <w:lang w:val="en-US"/>
        </w:rPr>
        <w:t>1. Title</w:t>
      </w:r>
    </w:p>
    <w:p w:rsidR="00E42E4F" w:rsidRDefault="00E42E4F" w:rsidP="0022249F">
      <w:pPr>
        <w:rPr>
          <w:lang w:val="en-US"/>
        </w:rPr>
      </w:pPr>
      <w:r>
        <w:rPr>
          <w:lang w:val="en-US"/>
        </w:rPr>
        <w:tab/>
        <w:t xml:space="preserve">- </w:t>
      </w:r>
      <w:r w:rsidR="00202FF4">
        <w:rPr>
          <w:lang w:val="en-US"/>
        </w:rPr>
        <w:t>The First Update of the Maddison Project; Re-Estimating growth before 1820</w:t>
      </w:r>
      <w:r>
        <w:rPr>
          <w:lang w:val="en-US"/>
        </w:rPr>
        <w:t>.</w:t>
      </w:r>
    </w:p>
    <w:p w:rsidR="0022249F" w:rsidRPr="00C92CD6" w:rsidRDefault="0022249F" w:rsidP="0022249F">
      <w:r w:rsidRPr="00C92CD6">
        <w:t>2. Author</w:t>
      </w:r>
      <w:r w:rsidR="00E42E4F" w:rsidRPr="00C92CD6">
        <w:t>(s)</w:t>
      </w:r>
    </w:p>
    <w:p w:rsidR="00DF2464" w:rsidRPr="00202FF4" w:rsidRDefault="00DF2464" w:rsidP="00202FF4">
      <w:r w:rsidRPr="00C92CD6">
        <w:tab/>
      </w:r>
      <w:r w:rsidRPr="00202FF4">
        <w:t xml:space="preserve">- </w:t>
      </w:r>
      <w:r w:rsidR="00202FF4" w:rsidRPr="00202FF4">
        <w:t>Jutta Bolt and Jan Luiten van Zanden</w:t>
      </w:r>
    </w:p>
    <w:p w:rsidR="0022249F" w:rsidRPr="00E42E4F" w:rsidRDefault="00DF2464" w:rsidP="0022249F">
      <w:pPr>
        <w:rPr>
          <w:lang w:val="en-US"/>
        </w:rPr>
      </w:pPr>
      <w:r>
        <w:rPr>
          <w:lang w:val="en-US"/>
        </w:rPr>
        <w:t>3</w:t>
      </w:r>
      <w:r w:rsidR="0022249F" w:rsidRPr="00E42E4F">
        <w:rPr>
          <w:lang w:val="en-US"/>
        </w:rPr>
        <w:t>. Production date</w:t>
      </w:r>
    </w:p>
    <w:p w:rsidR="00DF2464" w:rsidRDefault="00DF2464" w:rsidP="0022249F">
      <w:pPr>
        <w:rPr>
          <w:lang w:val="en-US"/>
        </w:rPr>
      </w:pPr>
      <w:r>
        <w:rPr>
          <w:lang w:val="en-US"/>
        </w:rPr>
        <w:tab/>
        <w:t xml:space="preserve">- </w:t>
      </w:r>
      <w:r w:rsidR="00202FF4">
        <w:rPr>
          <w:lang w:val="en-US"/>
        </w:rPr>
        <w:t>January 2013</w:t>
      </w:r>
      <w:r w:rsidR="008D7E0B">
        <w:rPr>
          <w:lang w:val="en-US"/>
        </w:rPr>
        <w:t>.</w:t>
      </w:r>
    </w:p>
    <w:p w:rsidR="0022249F" w:rsidRPr="00E42E4F" w:rsidRDefault="008D7E0B" w:rsidP="0022249F">
      <w:pPr>
        <w:rPr>
          <w:lang w:val="en-US"/>
        </w:rPr>
      </w:pPr>
      <w:r>
        <w:rPr>
          <w:lang w:val="en-US"/>
        </w:rPr>
        <w:t>4</w:t>
      </w:r>
      <w:r w:rsidR="0022249F" w:rsidRPr="00E42E4F">
        <w:rPr>
          <w:lang w:val="en-US"/>
        </w:rPr>
        <w:t>. Version</w:t>
      </w:r>
    </w:p>
    <w:p w:rsidR="008D7E0B" w:rsidRDefault="008D7E0B" w:rsidP="0022249F">
      <w:pPr>
        <w:rPr>
          <w:lang w:val="en-US"/>
        </w:rPr>
      </w:pPr>
      <w:r>
        <w:rPr>
          <w:lang w:val="en-US"/>
        </w:rPr>
        <w:tab/>
        <w:t xml:space="preserve">- </w:t>
      </w:r>
      <w:r w:rsidR="00202FF4">
        <w:rPr>
          <w:lang w:val="en-US"/>
        </w:rPr>
        <w:t>na</w:t>
      </w:r>
    </w:p>
    <w:p w:rsidR="0022249F" w:rsidRPr="00E42E4F" w:rsidRDefault="008D7E0B" w:rsidP="0022249F">
      <w:pPr>
        <w:rPr>
          <w:lang w:val="en-US"/>
        </w:rPr>
      </w:pPr>
      <w:r>
        <w:rPr>
          <w:lang w:val="en-US"/>
        </w:rPr>
        <w:t>5</w:t>
      </w:r>
      <w:r w:rsidR="0022249F" w:rsidRPr="00E42E4F">
        <w:rPr>
          <w:lang w:val="en-US"/>
        </w:rPr>
        <w:t>. Variable group</w:t>
      </w:r>
      <w:r>
        <w:rPr>
          <w:lang w:val="en-US"/>
        </w:rPr>
        <w:t>(s)</w:t>
      </w:r>
    </w:p>
    <w:p w:rsidR="008D7E0B" w:rsidRDefault="008D7E0B" w:rsidP="0022249F">
      <w:pPr>
        <w:rPr>
          <w:lang w:val="en-US"/>
        </w:rPr>
      </w:pPr>
      <w:r>
        <w:rPr>
          <w:lang w:val="en-US"/>
        </w:rPr>
        <w:tab/>
        <w:t xml:space="preserve">- </w:t>
      </w:r>
      <w:r w:rsidR="00202FF4">
        <w:rPr>
          <w:lang w:val="en-US"/>
        </w:rPr>
        <w:t>National Accounts</w:t>
      </w:r>
    </w:p>
    <w:p w:rsidR="0022249F" w:rsidRDefault="008D7E0B" w:rsidP="0022249F">
      <w:pPr>
        <w:rPr>
          <w:lang w:val="en-US"/>
        </w:rPr>
      </w:pPr>
      <w:r>
        <w:rPr>
          <w:lang w:val="en-US"/>
        </w:rPr>
        <w:t>6</w:t>
      </w:r>
      <w:r w:rsidR="0022249F" w:rsidRPr="00E42E4F">
        <w:rPr>
          <w:lang w:val="en-US"/>
        </w:rPr>
        <w:t>. Variable</w:t>
      </w:r>
      <w:r>
        <w:rPr>
          <w:lang w:val="en-US"/>
        </w:rPr>
        <w:t>(s)</w:t>
      </w:r>
    </w:p>
    <w:p w:rsidR="008D7E0B" w:rsidRPr="00E42E4F" w:rsidRDefault="008D7E0B" w:rsidP="0022249F">
      <w:pPr>
        <w:rPr>
          <w:lang w:val="en-US"/>
        </w:rPr>
      </w:pPr>
      <w:r>
        <w:rPr>
          <w:lang w:val="en-US"/>
        </w:rPr>
        <w:tab/>
        <w:t xml:space="preserve">- </w:t>
      </w:r>
      <w:r w:rsidR="00202FF4">
        <w:rPr>
          <w:lang w:val="en-US"/>
        </w:rPr>
        <w:t>Gross Domestic Product per Capita</w:t>
      </w:r>
      <w:r>
        <w:rPr>
          <w:lang w:val="en-US"/>
        </w:rPr>
        <w:t>.</w:t>
      </w:r>
    </w:p>
    <w:p w:rsidR="0022249F" w:rsidRPr="00E42E4F" w:rsidRDefault="008D7E0B" w:rsidP="0022249F">
      <w:pPr>
        <w:rPr>
          <w:lang w:val="en-US"/>
        </w:rPr>
      </w:pPr>
      <w:r>
        <w:rPr>
          <w:lang w:val="en-US"/>
        </w:rPr>
        <w:t>7</w:t>
      </w:r>
      <w:r w:rsidR="0022249F" w:rsidRPr="00E42E4F">
        <w:rPr>
          <w:lang w:val="en-US"/>
        </w:rPr>
        <w:t>. Unit of analysis</w:t>
      </w:r>
    </w:p>
    <w:p w:rsidR="008D7E0B" w:rsidRDefault="00E3589C" w:rsidP="00202FF4">
      <w:pPr>
        <w:rPr>
          <w:lang w:val="en-US"/>
        </w:rPr>
      </w:pPr>
      <w:r>
        <w:rPr>
          <w:lang w:val="en-US"/>
        </w:rPr>
        <w:tab/>
        <w:t xml:space="preserve">- </w:t>
      </w:r>
      <w:r w:rsidR="00202FF4">
        <w:rPr>
          <w:lang w:val="en-US"/>
        </w:rPr>
        <w:t>Country</w:t>
      </w:r>
    </w:p>
    <w:p w:rsidR="0022249F" w:rsidRDefault="00E3589C" w:rsidP="0022249F">
      <w:pPr>
        <w:rPr>
          <w:lang w:val="en-US"/>
        </w:rPr>
      </w:pPr>
      <w:r>
        <w:rPr>
          <w:lang w:val="en-US"/>
        </w:rPr>
        <w:t>8</w:t>
      </w:r>
      <w:r w:rsidR="0022249F" w:rsidRPr="00E42E4F">
        <w:rPr>
          <w:lang w:val="en-US"/>
        </w:rPr>
        <w:t>. Keywords (5)</w:t>
      </w:r>
    </w:p>
    <w:p w:rsidR="00E3589C" w:rsidRPr="00202FF4" w:rsidRDefault="00E3589C" w:rsidP="0022249F">
      <w:pPr>
        <w:rPr>
          <w:rFonts w:cstheme="minorHAnsi"/>
          <w:lang w:val="en-US"/>
        </w:rPr>
      </w:pPr>
      <w:r>
        <w:rPr>
          <w:lang w:val="en-US"/>
        </w:rPr>
        <w:tab/>
      </w:r>
      <w:r w:rsidRPr="00202FF4">
        <w:rPr>
          <w:rFonts w:cstheme="minorHAnsi"/>
          <w:lang w:val="en-US"/>
        </w:rPr>
        <w:t xml:space="preserve">- </w:t>
      </w:r>
      <w:r w:rsidR="00202FF4" w:rsidRPr="00202FF4">
        <w:rPr>
          <w:rFonts w:cstheme="minorHAnsi"/>
          <w:lang w:val="en-US"/>
        </w:rPr>
        <w:t>GDP per Capita; Economic Growth</w:t>
      </w:r>
      <w:r w:rsidRPr="00202FF4">
        <w:rPr>
          <w:rFonts w:cstheme="minorHAnsi"/>
          <w:lang w:val="en-US"/>
        </w:rPr>
        <w:t>.</w:t>
      </w:r>
    </w:p>
    <w:p w:rsidR="00E3589C" w:rsidRDefault="00E3589C" w:rsidP="0022249F">
      <w:pPr>
        <w:rPr>
          <w:lang w:val="en-US"/>
        </w:rPr>
      </w:pPr>
      <w:r>
        <w:rPr>
          <w:lang w:val="en-US"/>
        </w:rPr>
        <w:t>9</w:t>
      </w:r>
      <w:r w:rsidR="0022249F" w:rsidRPr="00E42E4F">
        <w:rPr>
          <w:lang w:val="en-US"/>
        </w:rPr>
        <w:t>. Abstract (200 words)</w:t>
      </w:r>
    </w:p>
    <w:p w:rsidR="00202FF4" w:rsidRPr="00202FF4" w:rsidRDefault="00E3589C" w:rsidP="00202FF4">
      <w:pPr>
        <w:autoSpaceDE w:val="0"/>
        <w:autoSpaceDN w:val="0"/>
        <w:adjustRightInd w:val="0"/>
        <w:rPr>
          <w:rFonts w:cstheme="minorHAnsi"/>
          <w:lang w:val="en-US"/>
        </w:rPr>
      </w:pPr>
      <w:r>
        <w:rPr>
          <w:lang w:val="en-US"/>
        </w:rPr>
        <w:tab/>
        <w:t xml:space="preserve">- </w:t>
      </w:r>
      <w:r w:rsidR="00202FF4" w:rsidRPr="00202FF4">
        <w:rPr>
          <w:rFonts w:cstheme="minorHAnsi"/>
          <w:lang w:val="en-US"/>
        </w:rPr>
        <w:t>The Maddison Project, initiated in March 2010 by a group of close colleagues of Angus Maddison, aims to develop an effective way of cooperation between scholars to continue Maddison’s work on measuring economic performance in the world economy. This paper is a first product of the project. Its goal is to inventory recent research on historical national accounts, to briefly discuss some of the problems related to these historical statistics and to extend and where necessary revise the estimates published by Maddison in his recent overviews (2001; 2003; 2007) (also made available on his website at http://www.ggdc.net/MADDISON/oriindex.htm).</w:t>
      </w:r>
    </w:p>
    <w:p w:rsidR="00E3589C" w:rsidRDefault="00E3589C" w:rsidP="00202FF4">
      <w:pPr>
        <w:rPr>
          <w:lang w:val="en-US"/>
        </w:rPr>
      </w:pPr>
    </w:p>
    <w:p w:rsidR="0022249F" w:rsidRPr="00E42E4F" w:rsidRDefault="0022249F" w:rsidP="0022249F">
      <w:pPr>
        <w:rPr>
          <w:lang w:val="en-US"/>
        </w:rPr>
      </w:pPr>
      <w:r w:rsidRPr="00E42E4F">
        <w:rPr>
          <w:lang w:val="en-US"/>
        </w:rPr>
        <w:t>1</w:t>
      </w:r>
      <w:r w:rsidR="00C16C16">
        <w:rPr>
          <w:lang w:val="en-US"/>
        </w:rPr>
        <w:t>0</w:t>
      </w:r>
      <w:r w:rsidRPr="00E42E4F">
        <w:rPr>
          <w:lang w:val="en-US"/>
        </w:rPr>
        <w:t>. Time period</w:t>
      </w:r>
    </w:p>
    <w:p w:rsidR="00C16C16" w:rsidRDefault="00C16C16" w:rsidP="0022249F">
      <w:pPr>
        <w:rPr>
          <w:lang w:val="en-US"/>
        </w:rPr>
      </w:pPr>
      <w:r>
        <w:rPr>
          <w:lang w:val="en-US"/>
        </w:rPr>
        <w:tab/>
        <w:t xml:space="preserve">- </w:t>
      </w:r>
      <w:r w:rsidR="00202FF4">
        <w:rPr>
          <w:lang w:val="en-US"/>
        </w:rPr>
        <w:t>Between Roman times and 2010</w:t>
      </w:r>
      <w:r>
        <w:rPr>
          <w:lang w:val="en-US"/>
        </w:rPr>
        <w:t>.</w:t>
      </w:r>
    </w:p>
    <w:p w:rsidR="00202FF4" w:rsidRDefault="00202FF4" w:rsidP="0022249F">
      <w:pPr>
        <w:rPr>
          <w:lang w:val="en-US"/>
        </w:rPr>
      </w:pPr>
    </w:p>
    <w:p w:rsidR="0022249F" w:rsidRPr="00E42E4F" w:rsidRDefault="0022249F" w:rsidP="0022249F">
      <w:pPr>
        <w:rPr>
          <w:lang w:val="en-US"/>
        </w:rPr>
      </w:pPr>
      <w:r w:rsidRPr="00E42E4F">
        <w:rPr>
          <w:lang w:val="en-US"/>
        </w:rPr>
        <w:t>1</w:t>
      </w:r>
      <w:r w:rsidR="00C16C16">
        <w:rPr>
          <w:lang w:val="en-US"/>
        </w:rPr>
        <w:t>1</w:t>
      </w:r>
      <w:r w:rsidRPr="00E42E4F">
        <w:rPr>
          <w:lang w:val="en-US"/>
        </w:rPr>
        <w:t>. Geographical coverage</w:t>
      </w:r>
    </w:p>
    <w:p w:rsidR="003132A6" w:rsidRDefault="003132A6" w:rsidP="00BA2BA6">
      <w:pPr>
        <w:rPr>
          <w:lang w:val="en-US"/>
        </w:rPr>
      </w:pPr>
      <w:r>
        <w:rPr>
          <w:lang w:val="en-US"/>
        </w:rPr>
        <w:tab/>
        <w:t xml:space="preserve">- </w:t>
      </w:r>
      <w:r w:rsidR="00202FF4">
        <w:rPr>
          <w:lang w:val="en-US"/>
        </w:rPr>
        <w:t>Global coverage</w:t>
      </w:r>
      <w:r>
        <w:rPr>
          <w:lang w:val="en-US"/>
        </w:rPr>
        <w:t>.</w:t>
      </w:r>
    </w:p>
    <w:p w:rsidR="00202FF4" w:rsidRDefault="00202FF4" w:rsidP="00BA2BA6">
      <w:pPr>
        <w:rPr>
          <w:lang w:val="en-US"/>
        </w:rPr>
      </w:pPr>
    </w:p>
    <w:p w:rsidR="00BA2BA6" w:rsidRPr="00E42E4F" w:rsidRDefault="00BA2BA6" w:rsidP="00BA2BA6">
      <w:pPr>
        <w:rPr>
          <w:lang w:val="en-US"/>
        </w:rPr>
      </w:pPr>
      <w:r w:rsidRPr="00E42E4F">
        <w:rPr>
          <w:lang w:val="en-US"/>
        </w:rPr>
        <w:t>1</w:t>
      </w:r>
      <w:r w:rsidR="003132A6">
        <w:rPr>
          <w:lang w:val="en-US"/>
        </w:rPr>
        <w:t>2</w:t>
      </w:r>
      <w:r w:rsidRPr="00E42E4F">
        <w:rPr>
          <w:lang w:val="en-US"/>
        </w:rPr>
        <w:t>. Methodologies used for data collection and processing</w:t>
      </w:r>
    </w:p>
    <w:p w:rsidR="00202FF4" w:rsidRPr="00202FF4" w:rsidRDefault="00FF17ED" w:rsidP="00202FF4">
      <w:pPr>
        <w:autoSpaceDE w:val="0"/>
        <w:autoSpaceDN w:val="0"/>
        <w:adjustRightInd w:val="0"/>
        <w:ind w:left="705"/>
        <w:rPr>
          <w:rFonts w:cstheme="minorHAnsi"/>
          <w:lang w:val="en-US"/>
        </w:rPr>
      </w:pPr>
      <w:r>
        <w:rPr>
          <w:lang w:val="en-US"/>
        </w:rPr>
        <w:t>Database builts on the work of Angus Maddison complemented by work of country specialists who have provided us with their estimates.</w:t>
      </w:r>
    </w:p>
    <w:p w:rsidR="00202FF4" w:rsidRDefault="00202FF4" w:rsidP="0022249F">
      <w:pPr>
        <w:rPr>
          <w:lang w:val="en-US"/>
        </w:rPr>
      </w:pPr>
    </w:p>
    <w:p w:rsidR="0022249F" w:rsidRPr="00E42E4F" w:rsidRDefault="003132A6" w:rsidP="0022249F">
      <w:pPr>
        <w:rPr>
          <w:lang w:val="en-US"/>
        </w:rPr>
      </w:pPr>
      <w:r>
        <w:rPr>
          <w:lang w:val="en-US"/>
        </w:rPr>
        <w:t>13</w:t>
      </w:r>
      <w:r w:rsidR="0022249F" w:rsidRPr="00E42E4F">
        <w:rPr>
          <w:lang w:val="en-US"/>
        </w:rPr>
        <w:t>. Data quality</w:t>
      </w:r>
      <w:r w:rsidR="008274E7">
        <w:rPr>
          <w:lang w:val="en-US"/>
        </w:rPr>
        <w:t xml:space="preserve"> (multiple possibilities)</w:t>
      </w:r>
    </w:p>
    <w:p w:rsidR="003132A6" w:rsidRDefault="003132A6" w:rsidP="0022249F">
      <w:pPr>
        <w:rPr>
          <w:lang w:val="en-US"/>
        </w:rPr>
      </w:pPr>
      <w:r>
        <w:rPr>
          <w:lang w:val="en-US"/>
        </w:rPr>
        <w:tab/>
        <w:t>- Indication of the quality of the data based on the following categories:</w:t>
      </w:r>
    </w:p>
    <w:p w:rsidR="0022249F" w:rsidRPr="00E42E4F" w:rsidRDefault="003132A6" w:rsidP="0022249F">
      <w:pPr>
        <w:rPr>
          <w:lang w:val="en-US"/>
        </w:rPr>
      </w:pPr>
      <w:r>
        <w:rPr>
          <w:lang w:val="en-US"/>
        </w:rPr>
        <w:tab/>
      </w:r>
      <w:r w:rsidR="0022249F" w:rsidRPr="00E42E4F">
        <w:rPr>
          <w:lang w:val="en-US"/>
        </w:rPr>
        <w:tab/>
        <w:t>i. Central statistical agencies</w:t>
      </w:r>
    </w:p>
    <w:p w:rsidR="0022249F" w:rsidRPr="00E42E4F" w:rsidRDefault="003132A6" w:rsidP="0022249F">
      <w:pPr>
        <w:rPr>
          <w:lang w:val="en-US"/>
        </w:rPr>
      </w:pPr>
      <w:r>
        <w:rPr>
          <w:lang w:val="en-US"/>
        </w:rPr>
        <w:tab/>
      </w:r>
      <w:r w:rsidR="0022249F" w:rsidRPr="00E42E4F">
        <w:rPr>
          <w:lang w:val="en-US"/>
        </w:rPr>
        <w:tab/>
        <w:t>ii. Historical reconstructions</w:t>
      </w:r>
    </w:p>
    <w:p w:rsidR="0022249F" w:rsidRPr="00E42E4F" w:rsidRDefault="0022249F" w:rsidP="0022249F">
      <w:pPr>
        <w:rPr>
          <w:lang w:val="en-US"/>
        </w:rPr>
      </w:pPr>
      <w:r w:rsidRPr="00E42E4F">
        <w:rPr>
          <w:lang w:val="en-US"/>
        </w:rPr>
        <w:tab/>
      </w:r>
      <w:r w:rsidR="003132A6">
        <w:rPr>
          <w:lang w:val="en-US"/>
        </w:rPr>
        <w:tab/>
      </w:r>
      <w:r w:rsidRPr="00E42E4F">
        <w:rPr>
          <w:lang w:val="en-US"/>
        </w:rPr>
        <w:t>iii. Estimates</w:t>
      </w:r>
    </w:p>
    <w:p w:rsidR="0022249F" w:rsidRPr="00E42E4F" w:rsidRDefault="0022249F" w:rsidP="0022249F">
      <w:pPr>
        <w:rPr>
          <w:lang w:val="en-US"/>
        </w:rPr>
      </w:pPr>
      <w:r w:rsidRPr="00E42E4F">
        <w:rPr>
          <w:lang w:val="en-US"/>
        </w:rPr>
        <w:tab/>
      </w:r>
      <w:r w:rsidR="003132A6">
        <w:rPr>
          <w:lang w:val="en-US"/>
        </w:rPr>
        <w:tab/>
      </w:r>
    </w:p>
    <w:p w:rsidR="0022249F" w:rsidRPr="00E42E4F" w:rsidRDefault="003132A6" w:rsidP="0022249F">
      <w:pPr>
        <w:rPr>
          <w:lang w:val="en-US"/>
        </w:rPr>
      </w:pPr>
      <w:r>
        <w:rPr>
          <w:lang w:val="en-US"/>
        </w:rPr>
        <w:t>14</w:t>
      </w:r>
      <w:r w:rsidR="008274E7">
        <w:rPr>
          <w:lang w:val="en-US"/>
        </w:rPr>
        <w:t>.</w:t>
      </w:r>
      <w:r w:rsidR="0022249F" w:rsidRPr="00E42E4F">
        <w:rPr>
          <w:lang w:val="en-US"/>
        </w:rPr>
        <w:t xml:space="preserve"> </w:t>
      </w:r>
      <w:r w:rsidR="008274E7">
        <w:rPr>
          <w:lang w:val="en-US"/>
        </w:rPr>
        <w:t xml:space="preserve">Period </w:t>
      </w:r>
      <w:r w:rsidR="0022249F" w:rsidRPr="00E42E4F">
        <w:rPr>
          <w:lang w:val="en-US"/>
        </w:rPr>
        <w:t>of collection</w:t>
      </w:r>
    </w:p>
    <w:p w:rsidR="003132A6" w:rsidRDefault="003132A6" w:rsidP="0022249F">
      <w:pPr>
        <w:rPr>
          <w:lang w:val="en-US"/>
        </w:rPr>
      </w:pPr>
      <w:r>
        <w:rPr>
          <w:lang w:val="en-US"/>
        </w:rPr>
        <w:tab/>
        <w:t xml:space="preserve">- </w:t>
      </w:r>
      <w:r w:rsidR="00FF17ED">
        <w:rPr>
          <w:lang w:val="en-US"/>
        </w:rPr>
        <w:t>January 2011-January 2013</w:t>
      </w:r>
      <w:r>
        <w:rPr>
          <w:lang w:val="en-US"/>
        </w:rPr>
        <w:t>.</w:t>
      </w:r>
    </w:p>
    <w:p w:rsidR="0022249F" w:rsidRPr="00E42E4F" w:rsidRDefault="003132A6" w:rsidP="0022249F">
      <w:pPr>
        <w:rPr>
          <w:lang w:val="en-US"/>
        </w:rPr>
      </w:pPr>
      <w:r>
        <w:rPr>
          <w:lang w:val="en-US"/>
        </w:rPr>
        <w:t>15</w:t>
      </w:r>
      <w:r w:rsidR="0022249F" w:rsidRPr="00E42E4F">
        <w:rPr>
          <w:lang w:val="en-US"/>
        </w:rPr>
        <w:t>. Data collectors</w:t>
      </w:r>
    </w:p>
    <w:p w:rsidR="00FF17ED" w:rsidRDefault="003132A6" w:rsidP="003132A6">
      <w:pPr>
        <w:rPr>
          <w:lang w:val="en-US"/>
        </w:rPr>
      </w:pPr>
      <w:r>
        <w:rPr>
          <w:lang w:val="en-US"/>
        </w:rPr>
        <w:tab/>
        <w:t xml:space="preserve">- </w:t>
      </w:r>
      <w:r w:rsidR="00FF17ED">
        <w:rPr>
          <w:lang w:val="en-US"/>
        </w:rPr>
        <w:t xml:space="preserve">Jutta Bolt and Jan Luiten van Zanden; see for a full list of </w:t>
      </w:r>
      <w:r w:rsidR="00C92CD6">
        <w:rPr>
          <w:lang w:val="en-US"/>
        </w:rPr>
        <w:t>participants</w:t>
      </w:r>
      <w:r w:rsidR="00FF17ED">
        <w:rPr>
          <w:lang w:val="en-US"/>
        </w:rPr>
        <w:t xml:space="preserve"> of the Maddison Project: </w:t>
      </w:r>
      <w:r w:rsidR="00C92CD6" w:rsidRPr="00C92CD6">
        <w:rPr>
          <w:lang w:val="en-US"/>
        </w:rPr>
        <w:t>http://www.ggdc.net/maddison/maddison-project/participants.htm</w:t>
      </w:r>
    </w:p>
    <w:p w:rsidR="00FF17ED" w:rsidRDefault="00FF17ED" w:rsidP="003132A6">
      <w:pPr>
        <w:rPr>
          <w:lang w:val="en-US"/>
        </w:rPr>
      </w:pPr>
    </w:p>
    <w:p w:rsidR="00C92CD6" w:rsidRDefault="00C92CD6" w:rsidP="003132A6">
      <w:pPr>
        <w:rPr>
          <w:lang w:val="en-US"/>
        </w:rPr>
      </w:pPr>
    </w:p>
    <w:p w:rsidR="0022249F" w:rsidRPr="00E42E4F" w:rsidRDefault="00BA2BA6" w:rsidP="003132A6">
      <w:pPr>
        <w:rPr>
          <w:lang w:val="en-US"/>
        </w:rPr>
      </w:pPr>
      <w:r w:rsidRPr="00E42E4F">
        <w:rPr>
          <w:lang w:val="en-US"/>
        </w:rPr>
        <w:t>1</w:t>
      </w:r>
      <w:r w:rsidR="003132A6">
        <w:rPr>
          <w:lang w:val="en-US"/>
        </w:rPr>
        <w:t>6</w:t>
      </w:r>
      <w:r w:rsidR="0022249F" w:rsidRPr="00E42E4F">
        <w:rPr>
          <w:lang w:val="en-US"/>
        </w:rPr>
        <w:t>. Sources</w:t>
      </w: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lastRenderedPageBreak/>
        <w:t>Allen, R. C. (2001). “The Great Divergence in European Wages and Prices from the Middle Ages to the First World War”, Explorations in Economic History 38: 411–447.</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lang w:val="nl-NL"/>
        </w:rPr>
        <w:t xml:space="preserve">Allen, R. C. and J. L. Weisdorf (2011). </w:t>
      </w:r>
      <w:r w:rsidRPr="00FF17ED">
        <w:rPr>
          <w:rFonts w:asciiTheme="minorHAnsi" w:hAnsiTheme="minorHAnsi" w:cstheme="minorHAnsi"/>
        </w:rPr>
        <w:t xml:space="preserve">"Was there an ‘industrious revolution’ before the industrial revolution? An empirical exercise for England, c. 1300–1830," Economic History Review, 64(3): 715-729.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Álvarez-Nogal, C. and L. Prados de la Escosura (2011). "The Rise and Fall of Spain (1270-1850)," CEPR Discussion Papers 8369, C.E.P.R. Discussion Papers.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lang w:val="nl-NL"/>
        </w:rPr>
        <w:t xml:space="preserve">Arroyo Abad, L., E. Davies  J. L. van Zanden (2012). </w:t>
      </w:r>
      <w:r w:rsidRPr="00FF17ED">
        <w:rPr>
          <w:rFonts w:asciiTheme="minorHAnsi" w:hAnsiTheme="minorHAnsi" w:cstheme="minorHAnsi"/>
        </w:rPr>
        <w:t>“Between conquest and independence: Real wages and demographic change in Spanish America, 1530–1820,” Explorations in Economic History, 49 (2): 149–166.</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Baffigi, A. (2011).”Italian National Accounts, 1861-2011”, Banca d’Italia Economic History Working Papers 18.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Bassino, J.P., S. Broadberry, K. Fukao, B. Gupta and M. Takashima (2011). “Japan and the Great Divergence, 730-1870”, Working Paper*</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Bertola, L and Ocampo, J.A. (2012) The Economic Development of Latin America since Independence. Oxford, Oxford U.P.</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Broadberry, S. and B. Gupta (2012). India and the Great Divergence: an Anglo-Indian Comparison of GDP per Capita, 1600-1871”, University of Warwick Working Paper series, 81.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lang w:val="nl-NL"/>
        </w:rPr>
        <w:t xml:space="preserve">Broadberry, S.,  B. Campbell,  A. Klein, M. Overton, B. van Leeuwen  (2011). </w:t>
      </w:r>
      <w:r w:rsidRPr="00FF17ED">
        <w:rPr>
          <w:rFonts w:asciiTheme="minorHAnsi" w:hAnsiTheme="minorHAnsi" w:cstheme="minorHAnsi"/>
        </w:rPr>
        <w:t>“English Economic Growth, 1270-1700, Mimeo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Burhop, C. and G.B. Wolff  (2005). “A compromise estimate of the net national product and the business cycle in Germany,1851-1913, The Journal of Economic History, Volume 65 (3): 613 - 657</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lastRenderedPageBreak/>
        <w:t xml:space="preserve">Buyst, E. (2011), “Towards Estimates of Long Term Growth in the Southern Low Countries, ca.1500-1846”, Results presented at the Conference on Quantifying Long Run Economic Development, Venice, 22-24 March, 2011. </w:t>
      </w:r>
    </w:p>
    <w:p w:rsidR="00FF17ED" w:rsidRPr="00FF17ED" w:rsidRDefault="00FF17ED" w:rsidP="00FF17ED">
      <w:pPr>
        <w:pStyle w:val="NoSpacing"/>
        <w:spacing w:line="360" w:lineRule="auto"/>
        <w:rPr>
          <w:rFonts w:asciiTheme="minorHAnsi" w:hAnsiTheme="minorHAnsi" w:cstheme="minorHAnsi"/>
        </w:rPr>
      </w:pPr>
    </w:p>
    <w:p w:rsidR="00FF17ED" w:rsidRDefault="00C92CD6" w:rsidP="00FF17ED">
      <w:pPr>
        <w:pStyle w:val="NoSpacing"/>
        <w:spacing w:line="360" w:lineRule="auto"/>
      </w:pPr>
      <w:r w:rsidRPr="00C92CD6">
        <w:rPr>
          <w:lang w:val="nl-NL"/>
        </w:rPr>
        <w:t xml:space="preserve">Halbeisen, P./Müller, M./Veyrassat, B., Wirtschaftsgeschichte der Schweiz im 20. </w:t>
      </w:r>
      <w:r>
        <w:t>Jahrhundert, Basel: Schwabe, 2012, pp. 1173-1177 and 1185-1214</w:t>
      </w:r>
    </w:p>
    <w:p w:rsidR="00C92CD6" w:rsidRPr="00FF17ED" w:rsidRDefault="00C92CD6"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De Zwart, P. (2011a). “ Labour Relations in Ceylon, ca. 1650”, Global Collaboratory on the History of Labour Relations, 1500-2000.</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De Zwart, P. (2011b). ”South African Living Standards in Global Perspective, 1835-1910”, Economic History of Developing Regions 26 (2011) 49-74.</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Federico, G. (2002). The world economy 0-2000 AD: a review article. European Review of Economic History 6, 111-121.</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Feinstein, C. H. and M. Thomas (2001). “A Plea for Errors”,  University of Oxford Discussion Papers in Economic and Social History, Number 41.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Foldvari, Peter, and Leeuwen, Bas van (2010), “Comparing per capita income in the Hellenistic world: the case of Mesopotamia,” Paper presented at the Conference in honor of Angus Maddison, Amsterdam, November 2010.</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lang w:val="nl-NL"/>
        </w:rPr>
        <w:t xml:space="preserve">Fourie, J. and J.L. van Zanden (2012). </w:t>
      </w:r>
      <w:r w:rsidRPr="00FF17ED">
        <w:rPr>
          <w:rFonts w:asciiTheme="minorHAnsi" w:hAnsiTheme="minorHAnsi" w:cstheme="minorHAnsi"/>
        </w:rPr>
        <w:t>“GDP in the Dutch Cape Colony: The national accounts of a slave-based society”, CGEH Working Paper Series 30.</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lang w:val="nl-NL"/>
        </w:rPr>
        <w:t xml:space="preserve">Frankema, E.H.P. and M. van Waijenburg (2011). </w:t>
      </w:r>
      <w:r w:rsidRPr="00FF17ED">
        <w:rPr>
          <w:rFonts w:asciiTheme="minorHAnsi" w:hAnsiTheme="minorHAnsi" w:cstheme="minorHAnsi"/>
        </w:rPr>
        <w:t>“African Real Wages in Asian Perspective, 1880-1940,” CGEH Working Paper Series 2.</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Gregory, P. R. (1982). Russian National Income, 1885–1913, Cambridge: Cambridge University Press.</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spacing w:line="360" w:lineRule="auto"/>
        <w:jc w:val="both"/>
        <w:rPr>
          <w:rFonts w:cstheme="minorHAnsi"/>
          <w:lang w:val="en-GB"/>
        </w:rPr>
      </w:pPr>
      <w:r w:rsidRPr="00FF17ED">
        <w:rPr>
          <w:rFonts w:cstheme="minorHAnsi"/>
          <w:lang w:val="en-GB"/>
        </w:rPr>
        <w:t xml:space="preserve">Hopkins, K. (1980). “Taxes and trade in the Roman Empire (200 B.C.- A.D. 400).” </w:t>
      </w:r>
      <w:r w:rsidRPr="00FF17ED">
        <w:rPr>
          <w:rFonts w:cstheme="minorHAnsi"/>
          <w:i/>
          <w:iCs/>
          <w:lang w:val="en-GB"/>
        </w:rPr>
        <w:t>The Journal of Roman Studies</w:t>
      </w:r>
      <w:r w:rsidRPr="00FF17ED">
        <w:rPr>
          <w:rFonts w:cstheme="minorHAnsi"/>
          <w:lang w:val="en-GB"/>
        </w:rPr>
        <w:t>. vol 70, p. 101-125.</w:t>
      </w:r>
    </w:p>
    <w:p w:rsidR="00FF17ED" w:rsidRPr="00FF17ED" w:rsidRDefault="00FF17ED" w:rsidP="00FF17ED">
      <w:pPr>
        <w:spacing w:line="360" w:lineRule="auto"/>
        <w:jc w:val="both"/>
        <w:rPr>
          <w:rFonts w:cstheme="minorHAnsi"/>
          <w:lang w:val="en-GB"/>
        </w:rPr>
      </w:pPr>
    </w:p>
    <w:p w:rsidR="00FF17ED" w:rsidRPr="00FF17ED" w:rsidRDefault="00FF17ED" w:rsidP="00FF17ED">
      <w:pPr>
        <w:autoSpaceDE w:val="0"/>
        <w:autoSpaceDN w:val="0"/>
        <w:adjustRightInd w:val="0"/>
        <w:rPr>
          <w:rFonts w:cstheme="minorHAnsi"/>
          <w:lang w:val="en-US"/>
        </w:rPr>
      </w:pPr>
      <w:r w:rsidRPr="00FF17ED">
        <w:rPr>
          <w:rFonts w:cstheme="minorHAnsi"/>
          <w:lang w:val="en-GB"/>
        </w:rPr>
        <w:lastRenderedPageBreak/>
        <w:t>Ivanov, M. (2006). “</w:t>
      </w:r>
      <w:r w:rsidRPr="00FF17ED">
        <w:rPr>
          <w:rFonts w:cstheme="minorHAnsi"/>
          <w:bCs/>
          <w:color w:val="231F20"/>
          <w:lang w:val="en-US"/>
        </w:rPr>
        <w:t xml:space="preserve">Bulgarian National Income between 1892 and 1924,” </w:t>
      </w:r>
      <w:r w:rsidRPr="00FF17ED">
        <w:rPr>
          <w:rFonts w:cstheme="minorHAnsi"/>
          <w:bCs/>
          <w:i/>
          <w:color w:val="231F20"/>
          <w:lang w:val="en-US"/>
        </w:rPr>
        <w:t>Bulgarian National Discussion Papers</w:t>
      </w:r>
      <w:r w:rsidRPr="00FF17ED">
        <w:rPr>
          <w:rFonts w:cstheme="minorHAnsi"/>
          <w:bCs/>
          <w:color w:val="231F20"/>
          <w:lang w:val="en-US"/>
        </w:rPr>
        <w:t xml:space="preserve"> DP/54/2006.</w:t>
      </w: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Jerven, M. ( 2009). “The Relativity of Poverty and Income: How Reliable are African Economic Statistics?,” African Affairs 109/434: 77–96.</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Jerven, M. (2011). “Comparing colonial and post-colonial output: Challenges in estimating African economic change in the long run,” CGEH Working Paper Series.</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Kostelenos G., S. Petmezas, D. Vasiliou,  E. Kounaris and M. Sfakianakis, (forthcoming), "Gross Domestic Product 1830-1939", Sources of Economic History of Modern Greece: Quantitative data and statistical series 1830-1939, Historical Archives of the National Bank of Greece, Athens.</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Li, Bozhong (2010). </w:t>
      </w:r>
      <w:r w:rsidRPr="00FF17ED">
        <w:rPr>
          <w:rFonts w:asciiTheme="minorHAnsi" w:hAnsiTheme="minorHAnsi" w:cstheme="minorHAnsi"/>
          <w:i/>
        </w:rPr>
        <w:t>Zhongguo de zaogi jindai jingji: 1820 niandai Huanting-Louxian diqu GDP yanjiu</w:t>
      </w:r>
      <w:r w:rsidRPr="00FF17ED">
        <w:rPr>
          <w:rFonts w:asciiTheme="minorHAnsi" w:hAnsiTheme="minorHAnsi" w:cstheme="minorHAnsi"/>
        </w:rPr>
        <w:t xml:space="preserve"> (An early modern economy in China: A study of the GDP of Huating-Lou area, 1820s). Beijing: Zhonghua shuju, 2010.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Li, Bozhong (2011).“An Early Modern Economy in China: A Study of the GDP of the Huating-Lou Area, 1823–1829” CGEH working paper 18, to be published in Billy K.L. So (ed.) New Perspectives on Historical Chinese Market Economy: Studies of Late Imperial Lower Yangzi Delta, Routhledge, Academia Sinica Series.</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lang w:val="nl-NL"/>
        </w:rPr>
        <w:t xml:space="preserve">Li, B. and J.L. van Zanden (2010). </w:t>
      </w:r>
      <w:r w:rsidRPr="00FF17ED">
        <w:rPr>
          <w:rFonts w:asciiTheme="minorHAnsi" w:hAnsiTheme="minorHAnsi" w:cstheme="minorHAnsi"/>
        </w:rPr>
        <w:t xml:space="preserve">"Before the Great Divergence? Comparing the Yangzi Delta and the Netherlands at the Beginning of the Nineteenth Century", CEPR Discussion Papers 8023.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Lo Cascio, E. and P. Malanima (2011). “Ancient and Pre-Modern Economies GDP in the Roman Empire and Early Modern Europe”, Paper presented at the Conference on Quantifying Long Run Economic Development, Venice, 22-24 March, 2011</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Lo Cascio, Elio, and Paolo Malanima (2009). “GDP in Pre-Modern Agrarian Economies (1-1820 AD). A Revision of the Estimates,” Rivista di Storia Economica, XXV (3): 387-415.</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lang w:val="fr-FR"/>
        </w:rPr>
      </w:pPr>
      <w:r w:rsidRPr="00FF17ED">
        <w:rPr>
          <w:rFonts w:asciiTheme="minorHAnsi" w:hAnsiTheme="minorHAnsi" w:cstheme="minorHAnsi"/>
        </w:rPr>
        <w:t xml:space="preserve">Maddison, Angus (2001). The World Economy. </w:t>
      </w:r>
      <w:r w:rsidRPr="00FF17ED">
        <w:rPr>
          <w:rFonts w:asciiTheme="minorHAnsi" w:hAnsiTheme="minorHAnsi" w:cstheme="minorHAnsi"/>
          <w:lang w:val="fr-FR"/>
        </w:rPr>
        <w:t>A millennial perspective. Paris, OECD.</w:t>
      </w:r>
    </w:p>
    <w:p w:rsidR="00FF17ED" w:rsidRPr="00FF17ED" w:rsidRDefault="00FF17ED" w:rsidP="00FF17ED">
      <w:pPr>
        <w:pStyle w:val="NoSpacing"/>
        <w:spacing w:line="360" w:lineRule="auto"/>
        <w:rPr>
          <w:rFonts w:asciiTheme="minorHAnsi" w:hAnsiTheme="minorHAnsi" w:cstheme="minorHAnsi"/>
          <w:lang w:val="fr-FR"/>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Maddison, Angus (2003). The World Economy. Historical Statistics. Paris, OECD.</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lastRenderedPageBreak/>
        <w:t>Maddison, Angus (2007). Contours of the World Economy 1-2030 AD. Oxford, Oxford U.P..</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Style w:val="slug-pages"/>
          <w:rFonts w:asciiTheme="minorHAnsi" w:hAnsiTheme="minorHAnsi" w:cstheme="minorHAnsi"/>
          <w:iCs/>
        </w:rPr>
      </w:pPr>
      <w:r w:rsidRPr="00FF17ED">
        <w:rPr>
          <w:rFonts w:asciiTheme="minorHAnsi" w:hAnsiTheme="minorHAnsi" w:cstheme="minorHAnsi"/>
        </w:rPr>
        <w:t>Malanima P. (2011). The Long Decline of a Leading Economy. GDP in North Italy 1300-1911’, E</w:t>
      </w:r>
      <w:r w:rsidRPr="00FF17ED">
        <w:rPr>
          <w:rStyle w:val="HTMLCite"/>
          <w:rFonts w:asciiTheme="minorHAnsi" w:hAnsiTheme="minorHAnsi" w:cstheme="minorHAnsi"/>
        </w:rPr>
        <w:t>uropean Review of Economic History</w:t>
      </w:r>
      <w:r w:rsidRPr="00FF17ED">
        <w:rPr>
          <w:rStyle w:val="slug-pub-date"/>
          <w:rFonts w:asciiTheme="minorHAnsi" w:hAnsiTheme="minorHAnsi" w:cstheme="minorHAnsi"/>
          <w:i/>
          <w:iCs/>
        </w:rPr>
        <w:t xml:space="preserve"> </w:t>
      </w:r>
      <w:r w:rsidRPr="00FF17ED">
        <w:rPr>
          <w:rStyle w:val="slug-vol"/>
          <w:rFonts w:asciiTheme="minorHAnsi" w:hAnsiTheme="minorHAnsi" w:cstheme="minorHAnsi"/>
          <w:iCs/>
        </w:rPr>
        <w:t xml:space="preserve">15 </w:t>
      </w:r>
      <w:r w:rsidRPr="00FF17ED">
        <w:rPr>
          <w:rStyle w:val="slug-issue"/>
          <w:rFonts w:asciiTheme="minorHAnsi" w:hAnsiTheme="minorHAnsi" w:cstheme="minorHAnsi"/>
          <w:iCs/>
        </w:rPr>
        <w:t xml:space="preserve">(2): </w:t>
      </w:r>
      <w:r w:rsidRPr="00FF17ED">
        <w:rPr>
          <w:rStyle w:val="slug-pages"/>
          <w:rFonts w:asciiTheme="minorHAnsi" w:hAnsiTheme="minorHAnsi" w:cstheme="minorHAnsi"/>
          <w:iCs/>
        </w:rPr>
        <w:t>169-219.</w:t>
      </w:r>
    </w:p>
    <w:p w:rsidR="00FF17ED" w:rsidRPr="00FF17ED" w:rsidRDefault="00FF17ED" w:rsidP="00FF17ED">
      <w:pPr>
        <w:pStyle w:val="NoSpacing"/>
        <w:spacing w:line="360" w:lineRule="auto"/>
        <w:rPr>
          <w:rStyle w:val="slug-pages"/>
          <w:rFonts w:asciiTheme="minorHAnsi" w:hAnsiTheme="minorHAnsi" w:cstheme="minorHAnsi"/>
          <w:iCs/>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Markevich, A. and M. Harrison (2011). “Great War, Civil War, and Recovery: Russia's National Income, 1913 to 1928”, The Journal of Economic History, Volume 71 (3): 672 – 703.</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McCusker, John J., ‘Colonial Statistics’, Historical Statistics of the United States: Earliest Time to the Present. S. B. Carter, S. S. Gartner, M. R. Haineset al. New York, Cambridge University Press. V-671.</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Milanovic, Branko (2006), “An estimate of average income and inequality in Byzantium around year 1000,” Review of Income and Wealth 52 (3).</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Pamuk, Ş. and M. Shatzmiller (2011). “Real Wages and GDP per capita in the Medieval Islamic Middle East in Comparative Perspective, 700-1500”, paper presented at the 9th Conference of the European Historical Economics Society, Dublin, September 2-3, 2011.</w:t>
      </w:r>
      <w:r w:rsidRPr="00FF17ED">
        <w:rPr>
          <w:rFonts w:asciiTheme="minorHAnsi" w:hAnsiTheme="minorHAnsi" w:cstheme="minorHAnsi"/>
        </w:rPr>
        <w:cr/>
      </w: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Pfister, U. (2011). “ Economic growth in Germany, 1500–1850”, Paper presented at the Conference on Quantifying Long Run Economic Development, Venice, 22-24 March, 2011</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Pomeranz, K. (2000). The Great Divergence. China, Europe and the Making of the Modern World Economy. Princeton: Princeton University Press.</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Prados de la Escosura, L. (2009). “Lost Decades? Economic Performance in Post-Independence Latin America,” Journal of Latin America Studies 41: 279–307</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color w:val="000000"/>
          <w:lang w:val="nl-NL"/>
        </w:rPr>
        <w:t xml:space="preserve">Prados de la Escosura, L. (2011). </w:t>
      </w:r>
      <w:r w:rsidRPr="00FF17ED">
        <w:rPr>
          <w:rFonts w:asciiTheme="minorHAnsi" w:hAnsiTheme="minorHAnsi" w:cstheme="minorHAnsi"/>
          <w:color w:val="000000"/>
        </w:rPr>
        <w:t xml:space="preserve">“Human Development in Africa: a Long Run Perspective”, </w:t>
      </w:r>
      <w:r w:rsidRPr="00FF17ED">
        <w:rPr>
          <w:rFonts w:asciiTheme="minorHAnsi" w:hAnsiTheme="minorHAnsi" w:cstheme="minorHAnsi"/>
          <w:i/>
          <w:color w:val="000000"/>
        </w:rPr>
        <w:t>CEPR Discussion Paper</w:t>
      </w:r>
      <w:r w:rsidRPr="00FF17ED">
        <w:rPr>
          <w:rFonts w:asciiTheme="minorHAnsi" w:hAnsiTheme="minorHAnsi" w:cstheme="minorHAnsi"/>
          <w:color w:val="000000"/>
        </w:rPr>
        <w:t xml:space="preserve"> 8586.</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Reis, J., Martins, C. A. and Costa, L. F. (2011). New Estimates of Portugal’s GDP per Capita, 1500-1850,” Prepared for the “Quantifying long run economic development conference”, University of Warwick in Venice, 22–24 March 2011.</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Sutch, R. (2006). National Income and Product. </w:t>
      </w:r>
      <w:r w:rsidRPr="00FF17ED">
        <w:rPr>
          <w:rFonts w:asciiTheme="minorHAnsi" w:hAnsiTheme="minorHAnsi" w:cstheme="minorHAnsi"/>
          <w:u w:val="single"/>
        </w:rPr>
        <w:t>Historical Statistics of the United States: Earliest Time to the Present</w:t>
      </w:r>
      <w:r w:rsidRPr="00FF17ED">
        <w:rPr>
          <w:rFonts w:asciiTheme="minorHAnsi" w:hAnsiTheme="minorHAnsi" w:cstheme="minorHAnsi"/>
        </w:rPr>
        <w:t>. S. B. Carter, S. S. Gartner, M. R. Haineset al. New York, Cambridge University Press III-23-25.</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Roy T. (2010). “Economic Conditions in Early Modern Bengal: A Contribution to the Divergence Debate”, The Journal of Economic History, 70: 179-194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Scheidel, Walter, Steven Friesen, “The Size of the Economy and the Distribution of Income in the Roman Empire,” Journal of Roman Studies, 99, 61-91, 2009.</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Heading1"/>
        <w:rPr>
          <w:rFonts w:asciiTheme="minorHAnsi" w:hAnsiTheme="minorHAnsi" w:cstheme="minorHAnsi"/>
          <w:b w:val="0"/>
          <w:sz w:val="22"/>
          <w:szCs w:val="22"/>
        </w:rPr>
      </w:pPr>
      <w:r w:rsidRPr="00FF17ED">
        <w:rPr>
          <w:rFonts w:asciiTheme="minorHAnsi" w:hAnsiTheme="minorHAnsi" w:cstheme="minorHAnsi"/>
          <w:b w:val="0"/>
          <w:sz w:val="22"/>
          <w:szCs w:val="22"/>
        </w:rPr>
        <w:t>Schön, L. and Krantz, O. (2012). “</w:t>
      </w:r>
      <w:r w:rsidRPr="00FF17ED">
        <w:rPr>
          <w:rFonts w:asciiTheme="minorHAnsi" w:hAnsiTheme="minorHAnsi" w:cstheme="minorHAnsi"/>
          <w:b w:val="0"/>
          <w:kern w:val="36"/>
          <w:sz w:val="22"/>
          <w:szCs w:val="22"/>
        </w:rPr>
        <w:t>The Swedish economy in the early modern period: constructing historical national accounts</w:t>
      </w:r>
      <w:r w:rsidRPr="00FF17ED">
        <w:rPr>
          <w:rFonts w:asciiTheme="minorHAnsi" w:hAnsiTheme="minorHAnsi" w:cstheme="minorHAnsi"/>
          <w:b w:val="0"/>
          <w:sz w:val="22"/>
          <w:szCs w:val="22"/>
        </w:rPr>
        <w:t>,” E</w:t>
      </w:r>
      <w:r w:rsidRPr="00FF17ED">
        <w:rPr>
          <w:rStyle w:val="HTMLCite"/>
          <w:rFonts w:asciiTheme="minorHAnsi" w:hAnsiTheme="minorHAnsi" w:cstheme="minorHAnsi"/>
          <w:b w:val="0"/>
          <w:sz w:val="22"/>
          <w:szCs w:val="22"/>
        </w:rPr>
        <w:t>uropean Review of Economic History</w:t>
      </w:r>
      <w:r w:rsidRPr="00FF17ED">
        <w:rPr>
          <w:rStyle w:val="slug-pub-date"/>
          <w:rFonts w:asciiTheme="minorHAnsi" w:hAnsiTheme="minorHAnsi" w:cstheme="minorHAnsi"/>
          <w:b w:val="0"/>
          <w:iCs/>
          <w:sz w:val="22"/>
          <w:szCs w:val="22"/>
        </w:rPr>
        <w:t xml:space="preserve"> </w:t>
      </w:r>
      <w:r w:rsidRPr="00FF17ED">
        <w:rPr>
          <w:rStyle w:val="slug-vol"/>
          <w:rFonts w:asciiTheme="minorHAnsi" w:hAnsiTheme="minorHAnsi" w:cstheme="minorHAnsi"/>
          <w:b w:val="0"/>
          <w:iCs/>
          <w:sz w:val="22"/>
          <w:szCs w:val="22"/>
        </w:rPr>
        <w:t xml:space="preserve">16 </w:t>
      </w:r>
      <w:r w:rsidRPr="00FF17ED">
        <w:rPr>
          <w:rStyle w:val="slug-issue"/>
          <w:rFonts w:asciiTheme="minorHAnsi" w:hAnsiTheme="minorHAnsi" w:cstheme="minorHAnsi"/>
          <w:b w:val="0"/>
          <w:iCs/>
          <w:sz w:val="22"/>
          <w:szCs w:val="22"/>
        </w:rPr>
        <w:t xml:space="preserve">(4): </w:t>
      </w:r>
      <w:r w:rsidRPr="00FF17ED">
        <w:rPr>
          <w:rStyle w:val="slug-pages"/>
          <w:rFonts w:asciiTheme="minorHAnsi" w:eastAsia="PMingLiU" w:hAnsiTheme="minorHAnsi" w:cstheme="minorHAnsi"/>
          <w:b w:val="0"/>
          <w:iCs/>
          <w:sz w:val="22"/>
          <w:szCs w:val="22"/>
        </w:rPr>
        <w:t>529-549.</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Sokoloff, K.L. and S.L. Engerman (2000). “History lessons: Institutions, factors endowments, and paths of development in the new world.” The Journal of Economic Perspectives, 14 (3): 217–232</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Sugimoto, I. (2011).  Economic Growth of Singapore in the Twentieth Century, Historical GDP Estimates and Empirical Investigations, Economic Growth Centre Research Monograph Series - Vol. 2, </w:t>
      </w:r>
      <w:hyperlink r:id="rId7" w:history="1">
        <w:r w:rsidRPr="00FF17ED">
          <w:rPr>
            <w:rStyle w:val="Hyperlink"/>
            <w:rFonts w:asciiTheme="minorHAnsi" w:hAnsiTheme="minorHAnsi" w:cstheme="minorHAnsi"/>
          </w:rPr>
          <w:t>http://www.worldscibooks.com/economics/7858.html</w:t>
        </w:r>
      </w:hyperlink>
      <w:r w:rsidRPr="00FF17ED">
        <w:rPr>
          <w:rFonts w:asciiTheme="minorHAnsi" w:hAnsiTheme="minorHAnsi" w:cstheme="minorHAnsi"/>
        </w:rPr>
        <w:t>)</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Van der Eng, P. (2010). “The Sources of Long-Term Economic Growth in Indonesia, 1880-2008”,  Explorations in Economic History, 47: 294-309. Estimates are updated to include 2009-2010. </w:t>
      </w:r>
    </w:p>
    <w:p w:rsidR="00FF17ED" w:rsidRPr="00FF17ED" w:rsidRDefault="00FF17ED" w:rsidP="00FF17ED">
      <w:pPr>
        <w:pStyle w:val="NoSpacing"/>
        <w:spacing w:line="360" w:lineRule="auto"/>
        <w:rPr>
          <w:rFonts w:asciiTheme="minorHAnsi" w:hAnsiTheme="minorHAnsi" w:cstheme="minorHAnsi"/>
          <w:color w:val="000000"/>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color w:val="000000"/>
        </w:rPr>
        <w:t xml:space="preserve">Van Leeuwen, B.,  J. Van Leeuwen-Li and P. Foldvari (2012). “Was Education a Driver of Economic Development in Africa? Inequality and Income in the Twentieth Century”, Mimeo*.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Van Zanden, J.L. (2001). Early modern economic growth: a survey of the European economy 1500-1800 In: M. Prak (ed.) Early Modern Capitalism. London: Routledge, 69-87. </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i/>
        </w:rPr>
      </w:pPr>
      <w:r w:rsidRPr="00FF17ED">
        <w:rPr>
          <w:rFonts w:asciiTheme="minorHAnsi" w:hAnsiTheme="minorHAnsi" w:cstheme="minorHAnsi"/>
        </w:rPr>
        <w:t xml:space="preserve">Van Zanden, J.L. (2003). “Rich and Poor before the Industrial Revolution: a comparison between Java and the Netherlands at the beginning of the 19th century”, </w:t>
      </w:r>
      <w:r w:rsidRPr="00FF17ED">
        <w:rPr>
          <w:rStyle w:val="Emphasis"/>
          <w:rFonts w:asciiTheme="minorHAnsi" w:hAnsiTheme="minorHAnsi" w:cstheme="minorHAnsi"/>
          <w:i w:val="0"/>
        </w:rPr>
        <w:t>Explorations in Economic History</w:t>
      </w:r>
      <w:r w:rsidRPr="00FF17ED">
        <w:rPr>
          <w:rFonts w:asciiTheme="minorHAnsi" w:hAnsiTheme="minorHAnsi" w:cstheme="minorHAnsi"/>
          <w:i/>
        </w:rPr>
        <w:t xml:space="preserve"> </w:t>
      </w:r>
      <w:r w:rsidRPr="00FF17ED">
        <w:rPr>
          <w:rFonts w:asciiTheme="minorHAnsi" w:hAnsiTheme="minorHAnsi" w:cstheme="minorHAnsi"/>
        </w:rPr>
        <w:t>40: 1-23</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Van Zanden, J. L.  (2009). </w:t>
      </w:r>
      <w:r w:rsidRPr="00FF17ED">
        <w:rPr>
          <w:rStyle w:val="Emphasis"/>
          <w:rFonts w:asciiTheme="minorHAnsi" w:hAnsiTheme="minorHAnsi" w:cstheme="minorHAnsi"/>
        </w:rPr>
        <w:t>The Long Road to the Industrial Revolution. The European Economy in a Global Perspective, 1000-1800</w:t>
      </w:r>
      <w:r w:rsidRPr="00FF17ED">
        <w:rPr>
          <w:rFonts w:asciiTheme="minorHAnsi" w:hAnsiTheme="minorHAnsi" w:cstheme="minorHAnsi"/>
        </w:rPr>
        <w:t>. Leiden: Brill Publishers.</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(2012). “Economic Growth in Java 1815-1939: The Reconstruction of the Historical National Accounts of a Colonial Economy”, Maddison-Project Working Paper WP-3.</w:t>
      </w:r>
    </w:p>
    <w:p w:rsidR="00FF17ED" w:rsidRPr="00FF17ED" w:rsidRDefault="00FF17ED" w:rsidP="00FF17ED">
      <w:pPr>
        <w:pStyle w:val="NoSpacing"/>
        <w:spacing w:line="360" w:lineRule="auto"/>
        <w:rPr>
          <w:rFonts w:asciiTheme="minorHAnsi" w:hAnsiTheme="minorHAnsi" w:cstheme="minorHAnsi"/>
        </w:rPr>
      </w:pPr>
    </w:p>
    <w:p w:rsidR="00FF17ED" w:rsidRPr="00FF17ED" w:rsidRDefault="00FF17ED" w:rsidP="00FF17ED">
      <w:pPr>
        <w:pStyle w:val="NoSpacing"/>
        <w:spacing w:line="360" w:lineRule="auto"/>
        <w:rPr>
          <w:rFonts w:asciiTheme="minorHAnsi" w:hAnsiTheme="minorHAnsi" w:cstheme="minorHAnsi"/>
        </w:rPr>
      </w:pPr>
      <w:r w:rsidRPr="00FF17ED">
        <w:rPr>
          <w:rFonts w:asciiTheme="minorHAnsi" w:hAnsiTheme="minorHAnsi" w:cstheme="minorHAnsi"/>
        </w:rPr>
        <w:t xml:space="preserve"> </w:t>
      </w:r>
      <w:r w:rsidRPr="00FF17ED">
        <w:rPr>
          <w:rFonts w:asciiTheme="minorHAnsi" w:hAnsiTheme="minorHAnsi" w:cstheme="minorHAnsi"/>
          <w:lang w:val="nl-NL"/>
        </w:rPr>
        <w:t xml:space="preserve">Van Zanden, J. L. and B. van Leeuwen (2012). </w:t>
      </w:r>
      <w:r w:rsidRPr="00FF17ED">
        <w:rPr>
          <w:rFonts w:asciiTheme="minorHAnsi" w:hAnsiTheme="minorHAnsi" w:cstheme="minorHAnsi"/>
        </w:rPr>
        <w:t>“Persistent but not Consistent: The Growth of National Income in Holland 1347-1807”. Explorations in Economic History, 2012</w:t>
      </w:r>
    </w:p>
    <w:p w:rsidR="00CE352A" w:rsidRDefault="00CE352A" w:rsidP="00FF17ED">
      <w:pPr>
        <w:rPr>
          <w:lang w:val="en-US"/>
        </w:rPr>
      </w:pPr>
    </w:p>
    <w:p w:rsidR="008274E7" w:rsidRDefault="008274E7" w:rsidP="00FF17ED">
      <w:pPr>
        <w:rPr>
          <w:lang w:val="en-US"/>
        </w:rPr>
      </w:pPr>
      <w:r>
        <w:rPr>
          <w:lang w:val="en-US"/>
        </w:rPr>
        <w:t>17. Text</w:t>
      </w:r>
    </w:p>
    <w:p w:rsidR="00C92CD6" w:rsidRDefault="00C92CD6" w:rsidP="00FF17ED">
      <w:pPr>
        <w:rPr>
          <w:lang w:val="en-US"/>
        </w:rPr>
      </w:pPr>
    </w:p>
    <w:p w:rsidR="00C92CD6" w:rsidRDefault="00C92CD6" w:rsidP="00C92CD6">
      <w:pPr>
        <w:rPr>
          <w:lang w:val="en-US"/>
        </w:rPr>
      </w:pPr>
      <w:r>
        <w:rPr>
          <w:lang w:val="en-US"/>
        </w:rPr>
        <w:t>‘This study was carried out within the framework of the CLIO-INFRA project financed by the Netherlands Organisation for Scientific Research (NWO)’</w:t>
      </w:r>
    </w:p>
    <w:p w:rsidR="00C92CD6" w:rsidRDefault="00C92CD6" w:rsidP="00C92CD6">
      <w:pPr>
        <w:rPr>
          <w:lang w:val="en-US"/>
        </w:rPr>
      </w:pPr>
    </w:p>
    <w:p w:rsidR="00C92CD6" w:rsidRDefault="00C92CD6" w:rsidP="00FF17ED">
      <w:pPr>
        <w:rPr>
          <w:lang w:val="en-US"/>
        </w:rPr>
      </w:pPr>
    </w:p>
    <w:p w:rsidR="00C92CD6" w:rsidRPr="00C92CD6" w:rsidRDefault="008274E7" w:rsidP="00C92CD6">
      <w:pPr>
        <w:pStyle w:val="NormalWeb"/>
        <w:spacing w:line="360" w:lineRule="auto"/>
        <w:jc w:val="both"/>
        <w:rPr>
          <w:rFonts w:asciiTheme="minorHAnsi" w:hAnsiTheme="minorHAnsi"/>
          <w:b/>
          <w:color w:val="000000"/>
          <w:sz w:val="22"/>
          <w:szCs w:val="22"/>
        </w:rPr>
      </w:pPr>
      <w:r>
        <w:tab/>
      </w:r>
      <w:r w:rsidR="00C92CD6" w:rsidRPr="00C92CD6">
        <w:rPr>
          <w:rFonts w:asciiTheme="minorHAnsi" w:hAnsiTheme="minorHAnsi"/>
          <w:b/>
          <w:color w:val="000000"/>
          <w:sz w:val="22"/>
          <w:szCs w:val="22"/>
        </w:rPr>
        <w:t>Introduction</w:t>
      </w:r>
    </w:p>
    <w:p w:rsidR="00C92CD6" w:rsidRPr="00C92CD6" w:rsidRDefault="00C92CD6" w:rsidP="00C92CD6">
      <w:pPr>
        <w:spacing w:after="200" w:line="360" w:lineRule="auto"/>
        <w:jc w:val="both"/>
        <w:rPr>
          <w:lang w:val="en-GB"/>
        </w:rPr>
      </w:pPr>
      <w:r w:rsidRPr="00C92CD6">
        <w:rPr>
          <w:lang w:val="en-GB"/>
        </w:rPr>
        <w:t xml:space="preserve">Angus Maddison’s estimates of GDP and population in the world economy between Roman times and the present are of great value to the academic community. The members of the Maddison project, which started in 2010 to continue Maddison’s work after his death, share the idea that it is very important for the profession to continue to render this kind of service. This cannot be done by one single person (anymore) – nobody has the authority, the expertise and the determination to do this work on his (or her) own. Therefore the Maddison project is a team effort, involving cooperation between scholars who are specialists on different regions and periods (see the full list of participants on http://www.ggdc.net/maddison/maddison-project/index.htm).. </w:t>
      </w:r>
    </w:p>
    <w:p w:rsidR="00C92CD6" w:rsidRPr="00C92CD6" w:rsidRDefault="00C92CD6" w:rsidP="00C92CD6">
      <w:pPr>
        <w:pStyle w:val="NormalWeb"/>
        <w:spacing w:line="360" w:lineRule="auto"/>
        <w:ind w:firstLine="360"/>
        <w:jc w:val="both"/>
        <w:rPr>
          <w:rFonts w:asciiTheme="minorHAnsi" w:hAnsiTheme="minorHAnsi"/>
          <w:color w:val="000000"/>
          <w:sz w:val="22"/>
          <w:szCs w:val="22"/>
        </w:rPr>
      </w:pPr>
      <w:r w:rsidRPr="00C92CD6">
        <w:rPr>
          <w:rFonts w:asciiTheme="minorHAnsi" w:hAnsiTheme="minorHAnsi"/>
          <w:sz w:val="22"/>
          <w:szCs w:val="22"/>
        </w:rPr>
        <w:t>A first conference on the importance of his work and the issues to be resolved when continuing it, was held in Amsterdam in November 2010. During this conference, the following topics were discussed:</w:t>
      </w:r>
    </w:p>
    <w:p w:rsidR="00C92CD6" w:rsidRPr="00C92CD6" w:rsidRDefault="00C92CD6" w:rsidP="00C92CD6">
      <w:pPr>
        <w:pStyle w:val="NormalWeb"/>
        <w:numPr>
          <w:ilvl w:val="0"/>
          <w:numId w:val="1"/>
        </w:numPr>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New work that has been done on estimating national accounts, in particular on the pre 1800 period;</w:t>
      </w:r>
    </w:p>
    <w:p w:rsidR="00C92CD6" w:rsidRPr="00C92CD6" w:rsidRDefault="00C92CD6" w:rsidP="00C92CD6">
      <w:pPr>
        <w:pStyle w:val="NormalWeb"/>
        <w:numPr>
          <w:ilvl w:val="0"/>
          <w:numId w:val="1"/>
        </w:numPr>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The possible consequences for the Maddison dataset of the new ICP 2005 round and corresponding 2005 PPPs;</w:t>
      </w:r>
    </w:p>
    <w:p w:rsidR="00C92CD6" w:rsidRPr="00C92CD6" w:rsidRDefault="00C92CD6" w:rsidP="00C92CD6">
      <w:pPr>
        <w:pStyle w:val="NormalWeb"/>
        <w:numPr>
          <w:ilvl w:val="0"/>
          <w:numId w:val="1"/>
        </w:numPr>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The consistency of benchmarks and time series estimates;</w:t>
      </w:r>
    </w:p>
    <w:p w:rsidR="00C92CD6" w:rsidRPr="00C92CD6" w:rsidRDefault="00C92CD6" w:rsidP="00C92CD6">
      <w:pPr>
        <w:pStyle w:val="NormalWeb"/>
        <w:numPr>
          <w:ilvl w:val="0"/>
          <w:numId w:val="1"/>
        </w:numPr>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The large gaps in the available estimates for various regions (Africa before 1950; China before 1913 etc.);</w:t>
      </w:r>
    </w:p>
    <w:p w:rsidR="00C92CD6" w:rsidRPr="00C92CD6" w:rsidRDefault="00C92CD6" w:rsidP="00C92CD6">
      <w:pPr>
        <w:pStyle w:val="NormalWeb"/>
        <w:numPr>
          <w:ilvl w:val="0"/>
          <w:numId w:val="1"/>
        </w:numPr>
        <w:spacing w:line="360" w:lineRule="auto"/>
        <w:jc w:val="both"/>
        <w:rPr>
          <w:rFonts w:asciiTheme="minorHAnsi" w:hAnsiTheme="minorHAnsi"/>
          <w:color w:val="000000"/>
          <w:sz w:val="22"/>
          <w:szCs w:val="22"/>
        </w:rPr>
      </w:pPr>
      <w:r w:rsidRPr="00C92CD6">
        <w:rPr>
          <w:rFonts w:asciiTheme="minorHAnsi" w:hAnsiTheme="minorHAnsi"/>
          <w:sz w:val="22"/>
          <w:szCs w:val="22"/>
        </w:rPr>
        <w:t>The possibility of providing greater transparency in the estimates: should the new estimates contain margins of error, or indicate the provenance of the new data?</w:t>
      </w:r>
    </w:p>
    <w:p w:rsidR="00C92CD6" w:rsidRPr="00C92CD6" w:rsidRDefault="00C92CD6" w:rsidP="00C92CD6">
      <w:pPr>
        <w:pStyle w:val="NormalWeb"/>
        <w:spacing w:line="360" w:lineRule="auto"/>
        <w:ind w:left="720"/>
        <w:jc w:val="both"/>
        <w:rPr>
          <w:rFonts w:asciiTheme="minorHAnsi" w:hAnsiTheme="minorHAnsi"/>
          <w:color w:val="000000"/>
          <w:sz w:val="22"/>
          <w:szCs w:val="22"/>
        </w:rPr>
      </w:pPr>
    </w:p>
    <w:p w:rsidR="00C92CD6" w:rsidRPr="00C92CD6" w:rsidRDefault="00C92CD6" w:rsidP="00C92CD6">
      <w:pPr>
        <w:pStyle w:val="NormalWeb"/>
        <w:spacing w:line="360" w:lineRule="auto"/>
        <w:jc w:val="both"/>
        <w:rPr>
          <w:rFonts w:asciiTheme="minorHAnsi" w:hAnsiTheme="minorHAnsi"/>
          <w:sz w:val="22"/>
          <w:szCs w:val="22"/>
        </w:rPr>
      </w:pPr>
      <w:r w:rsidRPr="00C92CD6">
        <w:rPr>
          <w:rFonts w:asciiTheme="minorHAnsi" w:hAnsiTheme="minorHAnsi"/>
          <w:sz w:val="22"/>
          <w:szCs w:val="22"/>
        </w:rPr>
        <w:t xml:space="preserve">This paper is a first product of the Maddison project, and will focus on the first topic: an inventory of new work done since the publication of Maddison’s synthesis in 2001/3 and the subsequent online updates. It presents many extensions and a few revisions of his work; often this new research was carried out by scholars inspired by and indebted to Maddison’s grand synthesis. </w:t>
      </w:r>
    </w:p>
    <w:p w:rsidR="00C92CD6" w:rsidRPr="00C92CD6" w:rsidRDefault="00C92CD6" w:rsidP="00C92CD6">
      <w:pPr>
        <w:pStyle w:val="NormalWeb"/>
        <w:spacing w:line="360" w:lineRule="auto"/>
        <w:jc w:val="both"/>
        <w:rPr>
          <w:rFonts w:asciiTheme="minorHAnsi" w:hAnsiTheme="minorHAnsi"/>
          <w:sz w:val="22"/>
          <w:szCs w:val="22"/>
        </w:rPr>
      </w:pPr>
      <w:r w:rsidRPr="00C92CD6">
        <w:rPr>
          <w:rFonts w:asciiTheme="minorHAnsi" w:hAnsiTheme="minorHAnsi"/>
          <w:sz w:val="22"/>
          <w:szCs w:val="22"/>
        </w:rPr>
        <w:t>The starting point of this update of the Maddison database is that we keep his original estimates intact, except in those cases for which we now have more and better information</w:t>
      </w:r>
      <w:r w:rsidRPr="00C92CD6">
        <w:rPr>
          <w:rStyle w:val="FootnoteReference"/>
          <w:rFonts w:asciiTheme="minorHAnsi" w:hAnsiTheme="minorHAnsi"/>
          <w:sz w:val="22"/>
          <w:szCs w:val="22"/>
        </w:rPr>
        <w:footnoteReference w:id="1"/>
      </w:r>
      <w:r w:rsidRPr="00C92CD6">
        <w:rPr>
          <w:rFonts w:asciiTheme="minorHAnsi" w:hAnsiTheme="minorHAnsi"/>
          <w:sz w:val="22"/>
          <w:szCs w:val="22"/>
        </w:rPr>
        <w:t>. In view of the new research that has been done, many of the pre 1820 estimates (and all the pre 1600 figures) had to be modified. Maddison was of course aware of this: his strategy was to produce numbers even if a solid basis for them did not always exist, expecting that scholars might disagree and do new work to show that he was wrong. In this way he induced many scholars to work on these themes and to try to quantify long-term economic development. This was a highly successful strategy, but not always understood and appreciated by his colleagues; thanks to his pioneering work and the many, many reactions to it, we can now present a much more detailed overview of long-term economic growth than when he started his project in the 1960s.</w:t>
      </w:r>
    </w:p>
    <w:p w:rsidR="00C92CD6" w:rsidRPr="00C92CD6" w:rsidRDefault="00C92CD6" w:rsidP="00C92CD6">
      <w:pPr>
        <w:pStyle w:val="NormalWeb"/>
        <w:spacing w:line="360" w:lineRule="auto"/>
        <w:ind w:firstLine="720"/>
        <w:jc w:val="both"/>
        <w:rPr>
          <w:rFonts w:asciiTheme="minorHAnsi" w:hAnsiTheme="minorHAnsi"/>
          <w:sz w:val="22"/>
          <w:szCs w:val="22"/>
        </w:rPr>
      </w:pPr>
      <w:r w:rsidRPr="00C92CD6">
        <w:rPr>
          <w:rFonts w:asciiTheme="minorHAnsi" w:hAnsiTheme="minorHAnsi"/>
          <w:sz w:val="22"/>
          <w:szCs w:val="22"/>
        </w:rPr>
        <w:t>The second and third item on the list above will be part of future work (see also few preliminary remarks on the various ICP rounds in the third section). By integrating new work, we have also tried to deal with the fourth item on the agenda, the large gaps in current knowledge. We will start here with a brief discussion of the fifth topic, the transparency of the estimates.</w:t>
      </w:r>
    </w:p>
    <w:p w:rsidR="00C92CD6" w:rsidRPr="00C92CD6" w:rsidRDefault="00C92CD6" w:rsidP="00C92CD6">
      <w:pPr>
        <w:pStyle w:val="NormalWeb"/>
        <w:spacing w:line="360" w:lineRule="auto"/>
        <w:jc w:val="both"/>
        <w:rPr>
          <w:rFonts w:asciiTheme="minorHAnsi" w:hAnsiTheme="minorHAnsi"/>
          <w:b/>
          <w:sz w:val="22"/>
          <w:szCs w:val="22"/>
        </w:rPr>
      </w:pPr>
    </w:p>
    <w:p w:rsidR="00C92CD6" w:rsidRPr="00C92CD6" w:rsidRDefault="00C92CD6" w:rsidP="00C92CD6">
      <w:pPr>
        <w:pStyle w:val="NormalWeb"/>
        <w:spacing w:line="360" w:lineRule="auto"/>
        <w:jc w:val="both"/>
        <w:rPr>
          <w:rFonts w:asciiTheme="minorHAnsi" w:hAnsiTheme="minorHAnsi"/>
          <w:b/>
          <w:sz w:val="22"/>
          <w:szCs w:val="22"/>
        </w:rPr>
      </w:pPr>
      <w:r w:rsidRPr="00C92CD6">
        <w:rPr>
          <w:rFonts w:asciiTheme="minorHAnsi" w:hAnsiTheme="minorHAnsi"/>
          <w:b/>
          <w:sz w:val="22"/>
          <w:szCs w:val="22"/>
        </w:rPr>
        <w:t>Are all estimates equal, or some more equal than others?</w:t>
      </w:r>
    </w:p>
    <w:p w:rsidR="00C92CD6" w:rsidRPr="00C92CD6" w:rsidRDefault="00C92CD6" w:rsidP="00C92CD6">
      <w:pPr>
        <w:pStyle w:val="NormalWeb"/>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Estimates of the national accounts of countries in the past – and in particular in the more distant past – are subject to certain margins of error. They are often based on partial data and certain assumptions about the links between these data (for example the proceeds of a certain tax) and the economic activities they represent. The further one goes back in time, the larger the margins or error will probably be, but there may be important exceptions from this rule (perhaps we know more about Medieval England than, for example, 19</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Sub-Saharan Africa, or pre-Colombian Latin America). </w:t>
      </w:r>
    </w:p>
    <w:p w:rsidR="00C92CD6" w:rsidRPr="00C92CD6" w:rsidRDefault="00C92CD6" w:rsidP="00C92CD6">
      <w:pPr>
        <w:pStyle w:val="NormalWeb"/>
        <w:spacing w:line="360" w:lineRule="auto"/>
        <w:ind w:firstLine="720"/>
        <w:jc w:val="both"/>
        <w:rPr>
          <w:rFonts w:asciiTheme="minorHAnsi" w:hAnsiTheme="minorHAnsi"/>
          <w:color w:val="000000"/>
          <w:sz w:val="22"/>
          <w:szCs w:val="22"/>
        </w:rPr>
      </w:pPr>
      <w:r w:rsidRPr="00C92CD6">
        <w:rPr>
          <w:rFonts w:asciiTheme="minorHAnsi" w:hAnsiTheme="minorHAnsi"/>
          <w:color w:val="000000"/>
          <w:sz w:val="22"/>
          <w:szCs w:val="22"/>
        </w:rPr>
        <w:t xml:space="preserve">Feinstein and Thomas (2001) have some time ago argued that it is possible to estimate such margins of error in detail, a method which has been applied in a few studies on the topic (for example Van Zanden and Van Leeuwen 2012). Members of the Maddison project have also experimented with various margins or error; the most detailed study was carried out by the members of the Hitotshibashi team working on Asian national accounts (we reprint their results in the separate data appendix to this study). After reviewing various attempts to estimate these margins of error, it was decided however to take another approach to this issue. The problem is that the margins of error suggest certain objectivity, whereas in fact they are based on rather subjective estimates of the possible margins of error of the underlying data. </w:t>
      </w:r>
    </w:p>
    <w:p w:rsidR="00C92CD6" w:rsidRPr="00C92CD6" w:rsidRDefault="00C92CD6" w:rsidP="00C92CD6">
      <w:pPr>
        <w:pStyle w:val="NormalWeb"/>
        <w:spacing w:line="360" w:lineRule="auto"/>
        <w:ind w:firstLine="360"/>
        <w:jc w:val="both"/>
        <w:rPr>
          <w:rFonts w:asciiTheme="minorHAnsi" w:hAnsiTheme="minorHAnsi"/>
          <w:color w:val="000000"/>
          <w:sz w:val="22"/>
          <w:szCs w:val="22"/>
        </w:rPr>
      </w:pPr>
      <w:r w:rsidRPr="00C92CD6">
        <w:rPr>
          <w:rFonts w:asciiTheme="minorHAnsi" w:hAnsiTheme="minorHAnsi"/>
          <w:color w:val="000000"/>
          <w:sz w:val="22"/>
          <w:szCs w:val="22"/>
        </w:rPr>
        <w:t>An alternative approach (suggested by Steve Broadberry) is to make explicit the provenance of the various estimates and the ways in which they have been derived. This lead to the following four groups:</w:t>
      </w:r>
    </w:p>
    <w:p w:rsidR="00C92CD6" w:rsidRPr="00C92CD6" w:rsidRDefault="00C92CD6" w:rsidP="00C92CD6">
      <w:pPr>
        <w:pStyle w:val="NormalWeb"/>
        <w:numPr>
          <w:ilvl w:val="0"/>
          <w:numId w:val="2"/>
        </w:numPr>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official estimates of GDP, made by national statistical offices or by international agencies (UN, for example) (in spreadsheet printed in black)</w:t>
      </w:r>
    </w:p>
    <w:p w:rsidR="00C92CD6" w:rsidRPr="00C92CD6" w:rsidRDefault="00C92CD6" w:rsidP="00C92CD6">
      <w:pPr>
        <w:pStyle w:val="NormalWeb"/>
        <w:numPr>
          <w:ilvl w:val="0"/>
          <w:numId w:val="2"/>
        </w:numPr>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historical estimates based on the same methods and broad range of data (in blue)</w:t>
      </w:r>
    </w:p>
    <w:p w:rsidR="00C92CD6" w:rsidRPr="00C92CD6" w:rsidRDefault="00C92CD6" w:rsidP="00C92CD6">
      <w:pPr>
        <w:pStyle w:val="NormalWeb"/>
        <w:numPr>
          <w:ilvl w:val="0"/>
          <w:numId w:val="2"/>
        </w:numPr>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historical estimates based on indirect proxy variables (in orange)</w:t>
      </w:r>
    </w:p>
    <w:p w:rsidR="00C92CD6" w:rsidRPr="00C92CD6" w:rsidRDefault="00C92CD6" w:rsidP="00C92CD6">
      <w:pPr>
        <w:pStyle w:val="NormalWeb"/>
        <w:numPr>
          <w:ilvl w:val="0"/>
          <w:numId w:val="2"/>
        </w:numPr>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guestimates (in red)</w:t>
      </w:r>
    </w:p>
    <w:p w:rsidR="00C92CD6" w:rsidRPr="00C92CD6" w:rsidRDefault="00C92CD6" w:rsidP="00C92CD6">
      <w:pPr>
        <w:pStyle w:val="NormalWeb"/>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In principle this is a much more objective classification, which still informs the user of the data about differences in quality of the estimates, although there may be very weak ‘official estimates’ – see for example Jerven’s paper on African GDP (Jerven 2009) – and high-quality historical estimates. Also the distinctions between the three types of historical estimates are not always clear cut. Yet, this classification is probably the best index of reliability that we can supply at the moment (it was also adopted by the Clio Infra project).</w:t>
      </w:r>
    </w:p>
    <w:p w:rsidR="00C92CD6" w:rsidRPr="00C92CD6" w:rsidRDefault="00C92CD6" w:rsidP="00C92CD6">
      <w:pPr>
        <w:pStyle w:val="NormalWeb"/>
        <w:spacing w:line="360" w:lineRule="auto"/>
        <w:ind w:firstLine="720"/>
        <w:jc w:val="both"/>
        <w:rPr>
          <w:rFonts w:asciiTheme="minorHAnsi" w:hAnsiTheme="minorHAnsi"/>
          <w:color w:val="000000"/>
          <w:sz w:val="22"/>
          <w:szCs w:val="22"/>
        </w:rPr>
      </w:pPr>
      <w:r w:rsidRPr="00C92CD6">
        <w:rPr>
          <w:rFonts w:asciiTheme="minorHAnsi" w:hAnsiTheme="minorHAnsi"/>
          <w:color w:val="000000"/>
          <w:sz w:val="22"/>
          <w:szCs w:val="22"/>
        </w:rPr>
        <w:t>A related issue is that historical estimates often refer to different territorial entities than the countries within the borders of 1990, the basic unit of account used in the Maddison framework. He made many corrections for (minor) changes in borders (an overview will be provided in future work). However, moving back in time sometimes means that we have only estimates for Northern Italy (instead of Italy as a whole), for Holland (Netherlands) or for the Cape Colony (South Africa). When those smaller regions represented less than two-third of the population and/or the GDP of the modern country (within current borders), we have presented the estimates in italics to warn users.</w:t>
      </w:r>
    </w:p>
    <w:p w:rsidR="00C92CD6" w:rsidRDefault="00C92CD6" w:rsidP="00C92CD6">
      <w:pPr>
        <w:pStyle w:val="NormalWeb"/>
        <w:spacing w:line="360" w:lineRule="auto"/>
        <w:jc w:val="both"/>
        <w:rPr>
          <w:rFonts w:asciiTheme="minorHAnsi" w:hAnsiTheme="minorHAnsi"/>
          <w:b/>
          <w:color w:val="000000"/>
          <w:sz w:val="22"/>
          <w:szCs w:val="22"/>
        </w:rPr>
      </w:pPr>
    </w:p>
    <w:p w:rsidR="00C92CD6" w:rsidRDefault="00C92CD6" w:rsidP="00C92CD6">
      <w:pPr>
        <w:pStyle w:val="NormalWeb"/>
        <w:spacing w:line="360" w:lineRule="auto"/>
        <w:jc w:val="both"/>
        <w:rPr>
          <w:rFonts w:asciiTheme="minorHAnsi" w:hAnsiTheme="minorHAnsi"/>
          <w:b/>
          <w:color w:val="000000"/>
          <w:sz w:val="22"/>
          <w:szCs w:val="22"/>
        </w:rPr>
      </w:pPr>
    </w:p>
    <w:p w:rsidR="00C92CD6" w:rsidRPr="00C92CD6" w:rsidRDefault="00C92CD6" w:rsidP="00C92CD6">
      <w:pPr>
        <w:pStyle w:val="NormalWeb"/>
        <w:spacing w:line="360" w:lineRule="auto"/>
        <w:jc w:val="both"/>
        <w:rPr>
          <w:rFonts w:asciiTheme="minorHAnsi" w:hAnsiTheme="minorHAnsi"/>
          <w:b/>
          <w:color w:val="000000"/>
          <w:sz w:val="22"/>
          <w:szCs w:val="22"/>
        </w:rPr>
      </w:pPr>
      <w:r w:rsidRPr="00C92CD6">
        <w:rPr>
          <w:rFonts w:asciiTheme="minorHAnsi" w:hAnsiTheme="minorHAnsi"/>
          <w:b/>
          <w:color w:val="000000"/>
          <w:sz w:val="22"/>
          <w:szCs w:val="22"/>
        </w:rPr>
        <w:t>New data/new research on national accounts.</w:t>
      </w:r>
    </w:p>
    <w:p w:rsidR="00C92CD6" w:rsidRPr="00C92CD6" w:rsidRDefault="00C92CD6" w:rsidP="00C92CD6">
      <w:pPr>
        <w:pStyle w:val="NormalWeb"/>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The ultimate goal of the Maddison project is to continue Maddison’s work on measuring economic performance of the world economy. To be able to provide the scientific community with a relevant, up to date dataset on income and population covering all continents, it is essential that new work is, once it withstood scientific scrutiny, integrated on a regular basis into the existing dataset. In this section we will discuss recent research integrated in the new dataset. The structure will follow the (somewhat Eurocentric) organization of the original Maddison dataset: we start with Europe, and end with Africa (Zimbabwe).</w:t>
      </w:r>
    </w:p>
    <w:p w:rsidR="00C92CD6" w:rsidRDefault="00C92CD6" w:rsidP="00C92CD6">
      <w:pPr>
        <w:pStyle w:val="NormalWeb"/>
        <w:spacing w:line="360" w:lineRule="auto"/>
        <w:jc w:val="both"/>
        <w:rPr>
          <w:rFonts w:asciiTheme="minorHAnsi" w:hAnsiTheme="minorHAnsi"/>
          <w:color w:val="000000"/>
          <w:sz w:val="22"/>
          <w:szCs w:val="22"/>
        </w:rPr>
      </w:pPr>
    </w:p>
    <w:p w:rsidR="00C92CD6" w:rsidRPr="00C92CD6" w:rsidRDefault="00C92CD6" w:rsidP="00C92CD6">
      <w:pPr>
        <w:pStyle w:val="NormalWeb"/>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 xml:space="preserve">A large part of the new work on </w:t>
      </w:r>
      <w:r w:rsidRPr="00C92CD6">
        <w:rPr>
          <w:rFonts w:asciiTheme="minorHAnsi" w:hAnsiTheme="minorHAnsi"/>
          <w:b/>
          <w:color w:val="000000"/>
          <w:sz w:val="22"/>
          <w:szCs w:val="22"/>
        </w:rPr>
        <w:t>Europe</w:t>
      </w:r>
      <w:r w:rsidRPr="00C92CD6">
        <w:rPr>
          <w:rFonts w:asciiTheme="minorHAnsi" w:hAnsiTheme="minorHAnsi"/>
          <w:color w:val="000000"/>
          <w:sz w:val="22"/>
          <w:szCs w:val="22"/>
        </w:rPr>
        <w:t xml:space="preserve"> has focused on extending the estimates of GDP (per capita) into the pre-1850 period. An important research project funded by the Leverhulme Foundation made it possible to estimate annual series of British (before 1700 English) GDP going back to 1270, and of GDP of Holland between 1348 and 1807 (Broadberry et.al. 2011; Van Zanden and Van Leeuwen 2012). This project was part of a much larger research effort to estimate pre 1850 GDP, which includes much new work done on Spain (Alvarez-Nogal and Prados de la Escosura 2011), Portugal (Reis 2011), Belgium (Buyst 2011), Sweden (Schön and Krantz 2012), Germany (Pfister 2011) and updated work on Italy (Lo Cascio and Malanima 2011). The most important finding from this new work is that probably growth in Western Europe was more gradual than was implied by the previous Maddison-synthesis. For example, Maddison estimated average GDP per capita of Western Europe in 1500 at 771 dollars (1990 international dollars), the new work strongly suggests that it must have been higher, perhaps as high as 1200 dollars or more; the unweighted average of the six countries for which we have observations is 1255 dollars, and even the poorest country among them, Spain, was richer than the 771 dollars of the previous Maddison estimate. This revision of pre industrial growth is not entirely new however; that European growth before 1800 was slow has already been pointed out by several authors in the recent past (Federico 2002, Van Zanden 2001). Between 1300 and 1800 growth did occur, however, but it was mainly concentrated in the North Sea area, where England and Holland grew from about 900 dollars at about 1300 to more than double that level – 2100 (Great Britain)  to 2600 (Holland) dollars – in 1800. But Spain in 1800 was not wealthier than in 1300, and in (Northern) Italy GDP per capita even declined in this period. Nor was there much growth in Sweden (observations for 1560 and 1800), Germany or Portugal.</w:t>
      </w:r>
    </w:p>
    <w:p w:rsidR="00C92CD6" w:rsidRPr="00C92CD6" w:rsidRDefault="00C92CD6" w:rsidP="00C92CD6">
      <w:pPr>
        <w:pStyle w:val="NormalWeb"/>
        <w:spacing w:line="360" w:lineRule="auto"/>
        <w:ind w:firstLine="720"/>
        <w:jc w:val="both"/>
        <w:rPr>
          <w:rFonts w:asciiTheme="minorHAnsi" w:hAnsiTheme="minorHAnsi"/>
          <w:color w:val="FF0000"/>
          <w:sz w:val="22"/>
          <w:szCs w:val="22"/>
        </w:rPr>
      </w:pPr>
      <w:r w:rsidRPr="00C92CD6">
        <w:rPr>
          <w:rFonts w:asciiTheme="minorHAnsi" w:hAnsiTheme="minorHAnsi"/>
          <w:color w:val="000000"/>
          <w:sz w:val="22"/>
          <w:szCs w:val="22"/>
        </w:rPr>
        <w:t>We added a few revisions of 19</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and early 20</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growth, for Switzerland (David et al., 2011), Germany (Burhop and Wolf, 2005), Sweden (Schön and Krantz, 20</w:t>
      </w:r>
      <w:r w:rsidRPr="00C92CD6">
        <w:rPr>
          <w:rFonts w:asciiTheme="minorHAnsi" w:hAnsiTheme="minorHAnsi"/>
          <w:sz w:val="22"/>
          <w:szCs w:val="22"/>
        </w:rPr>
        <w:t>12), Italy (Baffigi, 2011),</w:t>
      </w:r>
      <w:r w:rsidRPr="00C92CD6">
        <w:rPr>
          <w:rFonts w:asciiTheme="minorHAnsi" w:hAnsiTheme="minorHAnsi"/>
          <w:color w:val="000000"/>
          <w:sz w:val="22"/>
          <w:szCs w:val="22"/>
        </w:rPr>
        <w:t xml:space="preserve"> Greece (Kostelenos),</w:t>
      </w:r>
      <w:r w:rsidRPr="00C92CD6">
        <w:rPr>
          <w:rStyle w:val="FootnoteReference"/>
          <w:rFonts w:asciiTheme="minorHAnsi" w:hAnsiTheme="minorHAnsi"/>
          <w:color w:val="000000"/>
          <w:sz w:val="22"/>
          <w:szCs w:val="22"/>
        </w:rPr>
        <w:footnoteReference w:id="2"/>
      </w:r>
      <w:r w:rsidRPr="00C92CD6">
        <w:rPr>
          <w:rFonts w:asciiTheme="minorHAnsi" w:hAnsiTheme="minorHAnsi"/>
          <w:color w:val="000000"/>
          <w:sz w:val="22"/>
          <w:szCs w:val="22"/>
        </w:rPr>
        <w:t xml:space="preserve"> Russia (Markevich and Harrison, 2011; Gregory, 1982) and Bulgaria (Ivanov, 2006).</w:t>
      </w:r>
      <w:r w:rsidRPr="00C92CD6">
        <w:rPr>
          <w:rStyle w:val="FootnoteReference"/>
          <w:rFonts w:asciiTheme="minorHAnsi" w:hAnsiTheme="minorHAnsi"/>
          <w:color w:val="000000"/>
          <w:sz w:val="22"/>
          <w:szCs w:val="22"/>
        </w:rPr>
        <w:footnoteReference w:id="3"/>
      </w:r>
      <w:r w:rsidRPr="00C92CD6">
        <w:rPr>
          <w:rFonts w:asciiTheme="minorHAnsi" w:hAnsiTheme="minorHAnsi"/>
          <w:color w:val="000000"/>
          <w:sz w:val="22"/>
          <w:szCs w:val="22"/>
        </w:rPr>
        <w:t xml:space="preserve"> </w:t>
      </w:r>
    </w:p>
    <w:p w:rsidR="00C92CD6" w:rsidRPr="00C92CD6" w:rsidRDefault="00C92CD6" w:rsidP="00C92CD6">
      <w:pPr>
        <w:pStyle w:val="NormalWeb"/>
        <w:spacing w:line="360" w:lineRule="auto"/>
        <w:ind w:firstLine="720"/>
        <w:jc w:val="both"/>
        <w:rPr>
          <w:rFonts w:asciiTheme="minorHAnsi" w:hAnsiTheme="minorHAnsi"/>
          <w:color w:val="000000"/>
          <w:sz w:val="22"/>
          <w:szCs w:val="22"/>
        </w:rPr>
      </w:pPr>
      <w:r w:rsidRPr="00C92CD6">
        <w:rPr>
          <w:rFonts w:asciiTheme="minorHAnsi" w:hAnsiTheme="minorHAnsi"/>
          <w:color w:val="000000"/>
          <w:sz w:val="22"/>
          <w:szCs w:val="22"/>
        </w:rPr>
        <w:t xml:space="preserve">The debate on the “Great Divergence” between Europe and Asia and the relative level of economic development of East and South </w:t>
      </w:r>
      <w:r w:rsidRPr="00C92CD6">
        <w:rPr>
          <w:rFonts w:asciiTheme="minorHAnsi" w:hAnsiTheme="minorHAnsi"/>
          <w:b/>
          <w:color w:val="000000"/>
          <w:sz w:val="22"/>
          <w:szCs w:val="22"/>
        </w:rPr>
        <w:t>Asia</w:t>
      </w:r>
      <w:r w:rsidRPr="00C92CD6">
        <w:rPr>
          <w:rFonts w:asciiTheme="minorHAnsi" w:hAnsiTheme="minorHAnsi"/>
          <w:color w:val="000000"/>
          <w:sz w:val="22"/>
          <w:szCs w:val="22"/>
        </w:rPr>
        <w:t xml:space="preserve"> during the 18</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has stimulated much new research on the level and development of GDP in this part of the world. One of the central questions in this literature was whether the level of economic development (in terms of GDP per capita) in China (and India and Japan) before industrialization was comparable to Western Europe (Pomeranz 2000). Maddison’s estimates for that period have been criticized because they show an already substantial gap in real incomes between the different parts of EurAsia; in Western Europe the average GDP per capita was about 1200 dollars, whereas China and India were estimated at between 500 and 600 dollars. Recent studies on this topic generally confirm Maddison’s interpretation, but they add more information about long-term trends that shed a more detailed light on the matter. In a detailed case study of real incomes in Bengal in 1763 Roy (2010) demonstrates that these were much lower than those in England; moreover, he also finds no income growth between the early 18</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and the final decades of the 19</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which is consistent with the Maddison estimates. Broadberry and Gupta (2012) are even more pessimistic about the long term trajectory of Indian GDP. They chart an almost continuous decline from 1600 to 1870, based on (amongst others) the development of the urbanization ratio, real wages and industrial exports. Their estimates, which show higher income levels in especially the 17</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compared to the Maddison figures, have been integrated into the new dataset. New work has also been carried out for Indonesia (Van der Eng 2010) and, for the 19</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for Java (Van Zanden 2012). A comparison of these estimates with those for Western Europe in the 19</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also confirmed the big income gap between these regions (Van Zanden 2003). New work on Japan goes back in time until the 8</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and shows a slow rise of GDP per capita from 400 dollars in 720 to almost 700 dollars in 1850, again a set of estimates in accordance with the view that there was a large income gap with Western Europe (Bassino et al. 2011). Finally, for China Li (2010, 2011) has produced a detailed set of estimates of the structure and level of GDP in the most advanced part of the empire, the Yangzi Delta (in fact, in a part of that region, Hua-Lou district) in the 1820s. The comparison of this region with the Netherlands (representative of the more advanced parts of Western Europe) shows a real income gap of about 40-50% (Li and Van Zanden 2010). On this basis we continue to accept the estimate made by Maddison of China’s GDP per capita of 600 dollars in 1820.</w:t>
      </w:r>
    </w:p>
    <w:p w:rsidR="00C92CD6" w:rsidRPr="00C92CD6" w:rsidRDefault="00C92CD6" w:rsidP="00C92CD6">
      <w:pPr>
        <w:pStyle w:val="NormalWeb"/>
        <w:spacing w:line="360" w:lineRule="auto"/>
        <w:ind w:firstLine="720"/>
        <w:jc w:val="both"/>
        <w:rPr>
          <w:rFonts w:asciiTheme="minorHAnsi" w:hAnsiTheme="minorHAnsi"/>
          <w:color w:val="000000"/>
          <w:sz w:val="22"/>
          <w:szCs w:val="22"/>
        </w:rPr>
      </w:pPr>
      <w:r w:rsidRPr="00C92CD6">
        <w:rPr>
          <w:rFonts w:asciiTheme="minorHAnsi" w:hAnsiTheme="minorHAnsi"/>
          <w:color w:val="000000"/>
          <w:sz w:val="22"/>
          <w:szCs w:val="22"/>
        </w:rPr>
        <w:t>Besides incorporating this new research on the very long run, we also included a new set of estimates on Singapore’s more recent GDP (per capita) provided by Sugimoto (2011).</w:t>
      </w:r>
    </w:p>
    <w:p w:rsidR="00C92CD6" w:rsidRPr="00C92CD6" w:rsidRDefault="00C92CD6" w:rsidP="00C92CD6">
      <w:pPr>
        <w:pStyle w:val="NormalWeb"/>
        <w:spacing w:line="360" w:lineRule="auto"/>
        <w:ind w:firstLine="720"/>
        <w:jc w:val="both"/>
        <w:rPr>
          <w:rFonts w:asciiTheme="minorHAnsi" w:hAnsiTheme="minorHAnsi"/>
          <w:color w:val="000000"/>
          <w:sz w:val="22"/>
          <w:szCs w:val="22"/>
        </w:rPr>
      </w:pPr>
      <w:r w:rsidRPr="00C92CD6">
        <w:rPr>
          <w:rFonts w:asciiTheme="minorHAnsi" w:hAnsiTheme="minorHAnsi"/>
          <w:color w:val="000000"/>
          <w:sz w:val="22"/>
          <w:szCs w:val="22"/>
        </w:rPr>
        <w:t xml:space="preserve">For the </w:t>
      </w:r>
      <w:r w:rsidRPr="00C92CD6">
        <w:rPr>
          <w:rFonts w:asciiTheme="minorHAnsi" w:hAnsiTheme="minorHAnsi"/>
          <w:b/>
          <w:color w:val="000000"/>
          <w:sz w:val="22"/>
          <w:szCs w:val="22"/>
        </w:rPr>
        <w:t>Americas</w:t>
      </w:r>
      <w:r w:rsidRPr="00C92CD6">
        <w:rPr>
          <w:rFonts w:asciiTheme="minorHAnsi" w:hAnsiTheme="minorHAnsi"/>
          <w:color w:val="000000"/>
          <w:sz w:val="22"/>
          <w:szCs w:val="22"/>
        </w:rPr>
        <w:t xml:space="preserve"> we included new work done by Prados de la Escosura, based on estimates for 8 Latin American countries published in 2009</w:t>
      </w:r>
      <w:r w:rsidRPr="00C92CD6">
        <w:rPr>
          <w:rStyle w:val="FootnoteReference"/>
          <w:rFonts w:asciiTheme="minorHAnsi" w:hAnsiTheme="minorHAnsi"/>
          <w:color w:val="000000"/>
          <w:sz w:val="22"/>
          <w:szCs w:val="22"/>
        </w:rPr>
        <w:footnoteReference w:id="4"/>
      </w:r>
      <w:r w:rsidRPr="00C92CD6">
        <w:rPr>
          <w:rFonts w:asciiTheme="minorHAnsi" w:hAnsiTheme="minorHAnsi"/>
          <w:color w:val="000000"/>
          <w:sz w:val="22"/>
          <w:szCs w:val="22"/>
        </w:rPr>
        <w:t>. Most importantly, our income estimates now go back to 1800 for eight countries. Moreover, for Cuba, Ecuador and Jamaica the new estimates extend the original series well into the 19</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and for the first time offer an insight into their relative position in terms of per capita income on the continent during the 19</w:t>
      </w:r>
      <w:r w:rsidRPr="00C92CD6">
        <w:rPr>
          <w:rFonts w:asciiTheme="minorHAnsi" w:hAnsiTheme="minorHAnsi"/>
          <w:color w:val="000000"/>
          <w:sz w:val="22"/>
          <w:szCs w:val="22"/>
          <w:vertAlign w:val="superscript"/>
        </w:rPr>
        <w:t>th</w:t>
      </w:r>
      <w:r w:rsidRPr="00C92CD6">
        <w:rPr>
          <w:rFonts w:asciiTheme="minorHAnsi" w:hAnsiTheme="minorHAnsi"/>
          <w:color w:val="000000"/>
          <w:sz w:val="22"/>
          <w:szCs w:val="22"/>
        </w:rPr>
        <w:t xml:space="preserve"> century. We also included new work on the period 1870-1920 carried out by Bertola and Ocampo (2012) resulting in more detailed, often annual estimates for Argentina, Colombia, Peru and Venezuela. The new estimates do not radically change the overall picture of the distribution of income over the continent, although Argentine, Mexico and Venezuela appear to have been slightly richer prior to 1900. </w:t>
      </w:r>
    </w:p>
    <w:p w:rsidR="00C92CD6" w:rsidRPr="00C92CD6" w:rsidRDefault="00C92CD6" w:rsidP="00C92CD6">
      <w:pPr>
        <w:pStyle w:val="NormalWeb"/>
        <w:spacing w:line="360" w:lineRule="auto"/>
        <w:ind w:firstLine="720"/>
        <w:jc w:val="both"/>
        <w:rPr>
          <w:rFonts w:asciiTheme="minorHAnsi" w:hAnsiTheme="minorHAnsi"/>
          <w:color w:val="000000"/>
          <w:sz w:val="22"/>
          <w:szCs w:val="22"/>
        </w:rPr>
      </w:pPr>
      <w:r w:rsidRPr="00C92CD6">
        <w:rPr>
          <w:rFonts w:asciiTheme="minorHAnsi" w:hAnsiTheme="minorHAnsi"/>
          <w:color w:val="000000"/>
          <w:sz w:val="22"/>
          <w:szCs w:val="22"/>
        </w:rPr>
        <w:t xml:space="preserve">For The United States we could include the new set of estimates published as part of the Historical Statistics of the United States project, more specifically Sutch (2006) for the period 1790-1870, and McCusker (2006) for the colonial period. They bring the estimates back to 1650, and show remarkable rapid growth between 1650 and 1800 resulting in a doubling of GDP per capita (a rate of growth very similar to that found in England at the time). </w:t>
      </w:r>
    </w:p>
    <w:p w:rsidR="00C92CD6" w:rsidRPr="00C92CD6" w:rsidRDefault="00C92CD6" w:rsidP="00C92CD6">
      <w:pPr>
        <w:pStyle w:val="NormalWeb"/>
        <w:spacing w:line="360" w:lineRule="auto"/>
        <w:jc w:val="both"/>
        <w:rPr>
          <w:rFonts w:asciiTheme="minorHAnsi" w:hAnsiTheme="minorHAnsi"/>
          <w:color w:val="000000"/>
          <w:sz w:val="22"/>
          <w:szCs w:val="22"/>
        </w:rPr>
      </w:pPr>
      <w:r w:rsidRPr="00C92CD6">
        <w:rPr>
          <w:rFonts w:asciiTheme="minorHAnsi" w:hAnsiTheme="minorHAnsi"/>
          <w:color w:val="000000"/>
          <w:sz w:val="22"/>
          <w:szCs w:val="22"/>
        </w:rPr>
        <w:t xml:space="preserve">For </w:t>
      </w:r>
      <w:r w:rsidRPr="00C92CD6">
        <w:rPr>
          <w:rFonts w:asciiTheme="minorHAnsi" w:hAnsiTheme="minorHAnsi"/>
          <w:b/>
          <w:color w:val="000000"/>
          <w:sz w:val="22"/>
          <w:szCs w:val="22"/>
        </w:rPr>
        <w:t>Africa</w:t>
      </w:r>
      <w:r w:rsidRPr="00C92CD6">
        <w:rPr>
          <w:rFonts w:asciiTheme="minorHAnsi" w:hAnsiTheme="minorHAnsi"/>
          <w:color w:val="000000"/>
          <w:sz w:val="22"/>
          <w:szCs w:val="22"/>
        </w:rPr>
        <w:t>, most of the available income estimates start only in 1950. But currently much work is done on various countries on the continent. For example new research carried out by Fourie and Van Zanden (2012) makes it possible to chart GDP of Cape Colony (1701-1910) and link it to estimates for South Africa (from 1910 onwards). Jerven (2011) in a working paper estimates growth in Ghana between 1892 until 1954 based on expenditure data. Prados de la Escosora (2011) in a paper on human development, indirectly estimated GDP per capita for all countries for benchmark years between 1870 and 1950, based on the theoretical relationship between income terms of trade per head</w:t>
      </w:r>
      <w:r w:rsidRPr="00C92CD6">
        <w:rPr>
          <w:rStyle w:val="FootnoteReference"/>
          <w:rFonts w:asciiTheme="minorHAnsi" w:hAnsiTheme="minorHAnsi"/>
          <w:color w:val="000000"/>
          <w:sz w:val="22"/>
          <w:szCs w:val="22"/>
        </w:rPr>
        <w:footnoteReference w:id="5"/>
      </w:r>
      <w:r w:rsidRPr="00C92CD6">
        <w:rPr>
          <w:rFonts w:asciiTheme="minorHAnsi" w:hAnsiTheme="minorHAnsi"/>
          <w:color w:val="000000"/>
          <w:sz w:val="22"/>
          <w:szCs w:val="22"/>
        </w:rPr>
        <w:t xml:space="preserve"> and GDP per capita. And finally, the increased interest in real wages following </w:t>
      </w:r>
      <w:r w:rsidRPr="00C92CD6">
        <w:rPr>
          <w:rFonts w:asciiTheme="minorHAnsi" w:hAnsiTheme="minorHAnsi"/>
          <w:color w:val="000000"/>
          <w:sz w:val="22"/>
          <w:szCs w:val="22"/>
          <w:lang w:val="en-GB"/>
        </w:rPr>
        <w:t>Allen’s 2001 paper on real wages also spurred studies on real wages in Africa.</w:t>
      </w:r>
      <w:r w:rsidRPr="00C92CD6">
        <w:rPr>
          <w:rFonts w:asciiTheme="minorHAnsi" w:hAnsiTheme="minorHAnsi"/>
          <w:color w:val="000000"/>
          <w:sz w:val="22"/>
          <w:szCs w:val="22"/>
        </w:rPr>
        <w:t xml:space="preserve"> Frankema and van Waijenburg (2011) for example estimate real wages between 1880 and 1940 for British Colonial Africa, and present new insights in the living standards in various parts of the African continent. And Van Leeuwen et al. (2012) provided regional estimates of GDP per capita based partly on already existing sources, but to large extend also on real wage data, deflated with indigenous’ crops prices. We are still working on ways to integrate this new research into the Maddison framework – this version only contains the new time series for South Africa (the Cape Colony) although we include the estimates by Prados de la Escosura (2011) and Van Leeuwen et al. (2012) in the separate data appendix. The general trends in income for most African countries between 1870 and 1950 differ quite substantially between Prados de la Escosura (2011) and van Leeuwen et. al (2012), except for Northern Africa. For Malawi and Kenya for example, the estimates from Van Leeuwen et al (2012) suggest that the income was below the subsistence level of 250 to 300 international dollars for some decades prior to 1900, where Prados de la Escosura shows a stable trend up or well above subsistence. For Sierra Leone, and to a lesser extend Nigeria and Zambia, the trends from both sources even move in the opposite direction. Prados de la Escosura (2012) suggests that income in Sierra Leone decreased from 1600 to 646 int. dollars between 1870 and 1950, whereas van Leeuwen et al. (2012) indicate an increase from 348 to 556 dollars in the same period. Both sources do agree on the richest country on average over the whole period: Mauritius with an income close to or above 2000 dollars (1990 international dollars) for the whole period between 1870 and 1950, although also Gabon performs very well during the same period (Prados de la Escosura 2011).   </w:t>
      </w:r>
    </w:p>
    <w:p w:rsidR="00C92CD6" w:rsidRPr="00C92CD6" w:rsidRDefault="00C92CD6" w:rsidP="00C92CD6">
      <w:pPr>
        <w:pStyle w:val="NormalWeb"/>
        <w:spacing w:line="360" w:lineRule="auto"/>
        <w:ind w:firstLine="720"/>
        <w:jc w:val="both"/>
        <w:rPr>
          <w:rFonts w:asciiTheme="minorHAnsi" w:hAnsiTheme="minorHAnsi"/>
          <w:sz w:val="22"/>
          <w:szCs w:val="22"/>
          <w:lang w:val="en-GB"/>
        </w:rPr>
      </w:pPr>
      <w:r w:rsidRPr="00C92CD6">
        <w:rPr>
          <w:rFonts w:asciiTheme="minorHAnsi" w:hAnsiTheme="minorHAnsi"/>
          <w:color w:val="000000"/>
          <w:sz w:val="22"/>
          <w:szCs w:val="22"/>
        </w:rPr>
        <w:t xml:space="preserve">In the </w:t>
      </w:r>
      <w:r w:rsidRPr="00C92CD6">
        <w:rPr>
          <w:rFonts w:asciiTheme="minorHAnsi" w:hAnsiTheme="minorHAnsi"/>
          <w:b/>
          <w:color w:val="000000"/>
          <w:sz w:val="22"/>
          <w:szCs w:val="22"/>
        </w:rPr>
        <w:t>Near East/Northern Africa</w:t>
      </w:r>
      <w:r w:rsidRPr="00C92CD6">
        <w:rPr>
          <w:rFonts w:asciiTheme="minorHAnsi" w:hAnsiTheme="minorHAnsi"/>
          <w:color w:val="000000"/>
          <w:sz w:val="22"/>
          <w:szCs w:val="22"/>
        </w:rPr>
        <w:t xml:space="preserve"> new work by Pamuk and Shatzmiller (2011) allows us to chart the long term trajectory of Egypt, Iraq and Byzantine in the period 700-1500, also building on Milanovic (2006) who estimated GDP in Byzantine at about 1000. In the long term they find stagnation here: in Egypt, for example, real incomes in 720 are as high in 1480 or 1780 (at between 700 and 800 dollars); similar or somewhat lower levels are found in Iraq and Byzantine. They fit into a pattern: the most recent and most thorough overview of the debate by Scheidel and Friesen (2009) puts Roman GDP per capita at about 700 dollars, with large margins (600-800 dollars). They convincingly criticize estimates which are much higher (for example those of Lo Cascio and Malanima (2011) who estimate per capita income of the Roman Empire to be up to 1000 dollars). Following Maddison’s original estimates we differentiated various regions within the Roman Empire: its core region, Italy, was estimated to be at the maximum level estimated by Scheidel and Friesen (2009), that is at 800 dollars, which is exactly the same as the estimate made by Maddison (2007: 54) for Peninsular Italy and the islands. Newly acquired regions (France, Belgium, Spain) were estimated to be at the bottom of this scale, eg. 600 dollars, whereas the more highly developed and urbanized eastern parts of the empire (Greece, Egypt, Iraq, Turkey) were estimated at an intermediate level (700 dollars), which gave an average for the whole empire of about 700 dollars.</w:t>
      </w:r>
      <w:r w:rsidRPr="00C92CD6">
        <w:rPr>
          <w:rStyle w:val="FootnoteReference"/>
          <w:rFonts w:asciiTheme="minorHAnsi" w:hAnsiTheme="minorHAnsi"/>
          <w:color w:val="000000"/>
          <w:sz w:val="22"/>
          <w:szCs w:val="22"/>
        </w:rPr>
        <w:footnoteReference w:id="6"/>
      </w:r>
      <w:r w:rsidRPr="00C92CD6">
        <w:rPr>
          <w:rFonts w:asciiTheme="minorHAnsi" w:hAnsiTheme="minorHAnsi"/>
          <w:color w:val="000000"/>
          <w:sz w:val="22"/>
          <w:szCs w:val="22"/>
        </w:rPr>
        <w:t xml:space="preserve"> The Scheidel and Friesen (2009) estimate is comparable with the estimate for Byzantium in 1000, by Milanovic (2006) of about 680 dollars (range 640-720). Going even further back in time: for</w:t>
      </w:r>
      <w:r w:rsidRPr="00C92CD6">
        <w:rPr>
          <w:rFonts w:asciiTheme="minorHAnsi" w:hAnsiTheme="minorHAnsi"/>
          <w:sz w:val="22"/>
          <w:szCs w:val="22"/>
          <w:lang w:val="en-GB"/>
        </w:rPr>
        <w:t xml:space="preserve"> Mesopotamia, located in what is nowadays Iraq, Foldvari and Van Leeuwen calculated a GDP of about 600 1990 GK dollars at around 500 BC (these estimates were not included in the dataset). </w:t>
      </w:r>
    </w:p>
    <w:p w:rsidR="00C92CD6" w:rsidRPr="00C92CD6" w:rsidRDefault="00C92CD6" w:rsidP="00C92CD6">
      <w:pPr>
        <w:spacing w:line="360" w:lineRule="auto"/>
        <w:jc w:val="both"/>
        <w:rPr>
          <w:b/>
          <w:color w:val="000000"/>
          <w:lang w:val="en-GB"/>
        </w:rPr>
      </w:pPr>
    </w:p>
    <w:p w:rsidR="00C92CD6" w:rsidRPr="00C92CD6" w:rsidRDefault="00C92CD6" w:rsidP="00C92CD6">
      <w:pPr>
        <w:spacing w:line="360" w:lineRule="auto"/>
        <w:jc w:val="both"/>
        <w:rPr>
          <w:b/>
          <w:color w:val="000000"/>
          <w:lang w:val="en-GB"/>
        </w:rPr>
      </w:pPr>
      <w:r w:rsidRPr="00C92CD6">
        <w:rPr>
          <w:b/>
          <w:color w:val="000000"/>
          <w:lang w:val="en-GB"/>
        </w:rPr>
        <w:t>Real wages</w:t>
      </w:r>
    </w:p>
    <w:p w:rsidR="00C92CD6" w:rsidRPr="00C92CD6" w:rsidRDefault="00C92CD6" w:rsidP="00C92CD6">
      <w:pPr>
        <w:spacing w:line="360" w:lineRule="auto"/>
        <w:jc w:val="both"/>
        <w:rPr>
          <w:color w:val="000000"/>
          <w:lang w:val="en-GB"/>
        </w:rPr>
      </w:pPr>
      <w:r w:rsidRPr="00C92CD6">
        <w:rPr>
          <w:color w:val="000000"/>
          <w:lang w:val="en-GB"/>
        </w:rPr>
        <w:t>Angus Maddison had his doubts about using information on real wages to infer changes in GDP per capita growth, for the obvious reason that the real remuneration of labour is only part of GDP, and changes in the structure of the labour force, in working hours or in income distribution may result in a divergence in trends between these two indices. However, since Allen’s (2001) paper on real wages in Europe between 1300 and 1914, a large number of studies has been published which measure the level and development of real wages in a more or less systematic way. Moreover, these studies often show long-term trends which are quiet similar to the changes found in GDP per capita; we therefore think that it makes sense to include a brief review of this work here, and use some of the new results to extend the dataset.</w:t>
      </w:r>
    </w:p>
    <w:p w:rsidR="00C92CD6" w:rsidRPr="00C92CD6" w:rsidRDefault="00C92CD6" w:rsidP="00C92CD6">
      <w:pPr>
        <w:spacing w:line="360" w:lineRule="auto"/>
        <w:jc w:val="both"/>
        <w:rPr>
          <w:color w:val="000000"/>
          <w:lang w:val="en-GB"/>
        </w:rPr>
      </w:pPr>
      <w:r w:rsidRPr="00C92CD6">
        <w:rPr>
          <w:color w:val="000000"/>
          <w:lang w:val="en-GB"/>
        </w:rPr>
        <w:t>The recent research on long term changes in real wages has produced a number of important new insights:</w:t>
      </w:r>
    </w:p>
    <w:p w:rsidR="00C92CD6" w:rsidRPr="00C92CD6" w:rsidRDefault="00C92CD6" w:rsidP="00C92CD6">
      <w:pPr>
        <w:numPr>
          <w:ilvl w:val="0"/>
          <w:numId w:val="2"/>
        </w:numPr>
        <w:spacing w:line="360" w:lineRule="auto"/>
        <w:jc w:val="both"/>
        <w:rPr>
          <w:lang w:val="en-GB"/>
        </w:rPr>
      </w:pPr>
      <w:r w:rsidRPr="00C92CD6">
        <w:rPr>
          <w:color w:val="000000"/>
          <w:lang w:val="en-GB"/>
        </w:rPr>
        <w:t>there was a ‘little divergence’ within Europe between 1300 and 1800: real wages in the North Sea area more or less stabilized at the level attained after the Black Death, and remained relatively high (above subsistence) throughout the early modern period (and into the 19</w:t>
      </w:r>
      <w:r w:rsidRPr="00C92CD6">
        <w:rPr>
          <w:color w:val="000000"/>
          <w:vertAlign w:val="superscript"/>
          <w:lang w:val="en-GB"/>
        </w:rPr>
        <w:t>th</w:t>
      </w:r>
      <w:r w:rsidRPr="00C92CD6">
        <w:rPr>
          <w:color w:val="000000"/>
          <w:lang w:val="en-GB"/>
        </w:rPr>
        <w:t xml:space="preserve"> century); whereas, on the other hand, real wages in the ‘periphery’ (in Germany, Italy, Spain) began to fall after the 15</w:t>
      </w:r>
      <w:r w:rsidRPr="00C92CD6">
        <w:rPr>
          <w:color w:val="000000"/>
          <w:vertAlign w:val="superscript"/>
          <w:lang w:val="en-GB"/>
        </w:rPr>
        <w:t>th</w:t>
      </w:r>
      <w:r w:rsidRPr="00C92CD6">
        <w:rPr>
          <w:color w:val="000000"/>
          <w:lang w:val="en-GB"/>
        </w:rPr>
        <w:t xml:space="preserve"> century and returned to some kind of subsistence minimum during the 1500-1800 period (Allen 2001); this ‘little divergence’ in real wages mirrors a similar divergence in GDP per capita: in the ‘periphery’ of Europe there was almost no per capita growth between 1500 and 1800 (or even decline), whereas in Holland and England real income continued to rise and more or less doubled in this period;</w:t>
      </w:r>
    </w:p>
    <w:p w:rsidR="00C92CD6" w:rsidRPr="00C92CD6" w:rsidRDefault="00C92CD6" w:rsidP="00C92CD6">
      <w:pPr>
        <w:numPr>
          <w:ilvl w:val="0"/>
          <w:numId w:val="2"/>
        </w:numPr>
        <w:spacing w:line="360" w:lineRule="auto"/>
        <w:jc w:val="both"/>
        <w:rPr>
          <w:lang w:val="en-GB"/>
        </w:rPr>
      </w:pPr>
      <w:r w:rsidRPr="00C92CD6">
        <w:rPr>
          <w:color w:val="000000"/>
          <w:lang w:val="en-GB"/>
        </w:rPr>
        <w:t>the high real wages attained in England and Holland also stand out in a wider international comparison: in the 18</w:t>
      </w:r>
      <w:r w:rsidRPr="00C92CD6">
        <w:rPr>
          <w:color w:val="000000"/>
          <w:vertAlign w:val="superscript"/>
          <w:lang w:val="en-GB"/>
        </w:rPr>
        <w:t>th</w:t>
      </w:r>
      <w:r w:rsidRPr="00C92CD6">
        <w:rPr>
          <w:color w:val="000000"/>
          <w:lang w:val="en-GB"/>
        </w:rPr>
        <w:t xml:space="preserve"> and 19</w:t>
      </w:r>
      <w:r w:rsidRPr="00C92CD6">
        <w:rPr>
          <w:color w:val="000000"/>
          <w:vertAlign w:val="superscript"/>
          <w:lang w:val="en-GB"/>
        </w:rPr>
        <w:t>th</w:t>
      </w:r>
      <w:r w:rsidRPr="00C92CD6">
        <w:rPr>
          <w:color w:val="000000"/>
          <w:lang w:val="en-GB"/>
        </w:rPr>
        <w:t xml:space="preserve"> century real wages in various parts of China, India, Japan and Indonesia were at best half the level attained in North-Western Europe, thereby the confirming GDP estimates which suggest a (similar) gap between these parts of the world (Allen et.al. 2011; see also De Zwart 2011a for Sri Lanka);</w:t>
      </w:r>
    </w:p>
    <w:p w:rsidR="00C92CD6" w:rsidRPr="00C92CD6" w:rsidRDefault="00C92CD6" w:rsidP="00C92CD6">
      <w:pPr>
        <w:numPr>
          <w:ilvl w:val="0"/>
          <w:numId w:val="2"/>
        </w:numPr>
        <w:spacing w:line="360" w:lineRule="auto"/>
        <w:jc w:val="both"/>
        <w:rPr>
          <w:lang w:val="en-GB"/>
        </w:rPr>
      </w:pPr>
      <w:r w:rsidRPr="00C92CD6">
        <w:rPr>
          <w:color w:val="000000"/>
          <w:lang w:val="en-GB"/>
        </w:rPr>
        <w:t>similarly, high real wages 18</w:t>
      </w:r>
      <w:r w:rsidRPr="00C92CD6">
        <w:rPr>
          <w:color w:val="000000"/>
          <w:vertAlign w:val="superscript"/>
          <w:lang w:val="en-GB"/>
        </w:rPr>
        <w:t>th</w:t>
      </w:r>
      <w:r w:rsidRPr="00C92CD6">
        <w:rPr>
          <w:color w:val="000000"/>
          <w:lang w:val="en-GB"/>
        </w:rPr>
        <w:t xml:space="preserve"> century Cape Colony are consistent with high real incomes earned there (De Zwart 2011b);</w:t>
      </w:r>
    </w:p>
    <w:p w:rsidR="00C92CD6" w:rsidRPr="00C92CD6" w:rsidRDefault="00C92CD6" w:rsidP="00C92CD6">
      <w:pPr>
        <w:numPr>
          <w:ilvl w:val="0"/>
          <w:numId w:val="2"/>
        </w:numPr>
        <w:spacing w:line="360" w:lineRule="auto"/>
        <w:jc w:val="both"/>
        <w:rPr>
          <w:lang w:val="en-GB"/>
        </w:rPr>
      </w:pPr>
      <w:r w:rsidRPr="00C92CD6">
        <w:rPr>
          <w:color w:val="000000"/>
          <w:lang w:val="en-GB"/>
        </w:rPr>
        <w:t>likewise, Arroyo Abad et.al. (2012) show that the regional structure of real wages in Latin America at about 1820 is correlated with the structure of GDP per capita.</w:t>
      </w:r>
    </w:p>
    <w:p w:rsidR="00C92CD6" w:rsidRPr="00C92CD6" w:rsidRDefault="00C92CD6" w:rsidP="00C92CD6">
      <w:pPr>
        <w:spacing w:line="360" w:lineRule="auto"/>
        <w:jc w:val="both"/>
        <w:rPr>
          <w:color w:val="000000"/>
          <w:lang w:val="en-GB"/>
        </w:rPr>
      </w:pPr>
      <w:r w:rsidRPr="00C92CD6">
        <w:rPr>
          <w:color w:val="000000"/>
          <w:lang w:val="en-GB"/>
        </w:rPr>
        <w:t xml:space="preserve">The new real wage evidence therefore tends to support the new estimates of GDP per capita for  large parts of the world economy – in some cases (for example Pamuk and Shatzmiller’s (2011) work on pre 1800 Ottoman Empire/Near East) these various estimates are integrated into one consistent set of income figures. This is not to deny that trends in real wages and GDP per capita may be very different – as appears to happen in pre 1800 Europe (where in all regions there is a divergence between real wages and real incomes). But such divergences can be explained via a more detailed analysis of participation ratio’s, working hours and structural composition of the economy (Broadberry et.al. 2011; Allen and Weisdorf 2011). </w:t>
      </w:r>
    </w:p>
    <w:p w:rsidR="00C92CD6" w:rsidRPr="00C92CD6" w:rsidRDefault="00C92CD6" w:rsidP="00C92CD6">
      <w:pPr>
        <w:spacing w:line="360" w:lineRule="auto"/>
        <w:jc w:val="both"/>
        <w:rPr>
          <w:lang w:val="en-GB"/>
        </w:rPr>
      </w:pPr>
    </w:p>
    <w:p w:rsidR="00C92CD6" w:rsidRPr="00C92CD6" w:rsidRDefault="00C92CD6" w:rsidP="00C92CD6">
      <w:pPr>
        <w:spacing w:line="360" w:lineRule="auto"/>
        <w:jc w:val="both"/>
        <w:rPr>
          <w:b/>
          <w:lang w:val="en-GB"/>
        </w:rPr>
      </w:pPr>
      <w:r w:rsidRPr="00C92CD6">
        <w:rPr>
          <w:b/>
          <w:lang w:val="en-GB"/>
        </w:rPr>
        <w:t>New results</w:t>
      </w:r>
    </w:p>
    <w:p w:rsidR="00C92CD6" w:rsidRPr="00C92CD6" w:rsidRDefault="00C92CD6" w:rsidP="00C92CD6">
      <w:pPr>
        <w:spacing w:line="360" w:lineRule="auto"/>
        <w:jc w:val="both"/>
        <w:rPr>
          <w:lang w:val="en-GB"/>
        </w:rPr>
      </w:pPr>
      <w:r w:rsidRPr="00C92CD6">
        <w:rPr>
          <w:lang w:val="en-GB"/>
        </w:rPr>
        <w:t>We will now briefly review new results, per period. We start with the period before 1350, followed by the discussion of new results for the 1200-1820 period. Finally we will analyse the benchmark year 1820.</w:t>
      </w:r>
    </w:p>
    <w:p w:rsidR="00C92CD6" w:rsidRPr="00C92CD6" w:rsidRDefault="00C92CD6" w:rsidP="00C92CD6">
      <w:pPr>
        <w:spacing w:line="360" w:lineRule="auto"/>
        <w:ind w:left="360"/>
        <w:jc w:val="both"/>
        <w:rPr>
          <w:lang w:val="en-GB"/>
        </w:rPr>
      </w:pPr>
    </w:p>
    <w:p w:rsidR="00C92CD6" w:rsidRPr="00C92CD6" w:rsidRDefault="00C92CD6" w:rsidP="00C92CD6">
      <w:pPr>
        <w:spacing w:line="360" w:lineRule="auto"/>
        <w:ind w:left="360"/>
        <w:jc w:val="both"/>
        <w:rPr>
          <w:lang w:val="en-GB"/>
        </w:rPr>
      </w:pPr>
    </w:p>
    <w:p w:rsidR="00C92CD6" w:rsidRPr="00C92CD6" w:rsidRDefault="00C92CD6" w:rsidP="00C92CD6">
      <w:pPr>
        <w:spacing w:line="360" w:lineRule="auto"/>
        <w:jc w:val="both"/>
        <w:rPr>
          <w:i/>
          <w:lang w:val="en-GB"/>
        </w:rPr>
      </w:pPr>
      <w:r w:rsidRPr="00C92CD6">
        <w:rPr>
          <w:i/>
          <w:lang w:val="en-GB"/>
        </w:rPr>
        <w:t>Table 1 GDP per capita estimates Roman Empire – 1348</w:t>
      </w:r>
    </w:p>
    <w:tbl>
      <w:tblPr>
        <w:tblW w:w="8396" w:type="dxa"/>
        <w:tblInd w:w="82" w:type="dxa"/>
        <w:tblLayout w:type="fixed"/>
        <w:tblLook w:val="01E0" w:firstRow="1" w:lastRow="1" w:firstColumn="1" w:lastColumn="1" w:noHBand="0" w:noVBand="0"/>
      </w:tblPr>
      <w:tblGrid>
        <w:gridCol w:w="746"/>
        <w:gridCol w:w="1170"/>
        <w:gridCol w:w="810"/>
        <w:gridCol w:w="1080"/>
        <w:gridCol w:w="990"/>
        <w:gridCol w:w="1350"/>
        <w:gridCol w:w="630"/>
        <w:gridCol w:w="810"/>
        <w:gridCol w:w="810"/>
      </w:tblGrid>
      <w:tr w:rsidR="00C92CD6" w:rsidRPr="00C92CD6" w:rsidTr="00576272">
        <w:trPr>
          <w:trHeight w:val="330"/>
        </w:trPr>
        <w:tc>
          <w:tcPr>
            <w:tcW w:w="74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92CD6" w:rsidRPr="00C92CD6" w:rsidRDefault="00C92CD6" w:rsidP="00576272">
            <w:pPr>
              <w:jc w:val="both"/>
              <w:rPr>
                <w:color w:val="000000"/>
                <w:lang w:val="en-GB"/>
              </w:rPr>
            </w:pPr>
            <w:r w:rsidRPr="00C92CD6">
              <w:rPr>
                <w:color w:val="000000"/>
                <w:lang w:val="en-GB"/>
              </w:rPr>
              <w:t> </w:t>
            </w:r>
          </w:p>
        </w:tc>
        <w:tc>
          <w:tcPr>
            <w:tcW w:w="1170" w:type="dxa"/>
            <w:tcBorders>
              <w:top w:val="single" w:sz="4" w:space="0" w:color="auto"/>
              <w:left w:val="nil"/>
              <w:bottom w:val="single" w:sz="8" w:space="0" w:color="auto"/>
              <w:right w:val="single" w:sz="4" w:space="0" w:color="auto"/>
            </w:tcBorders>
            <w:shd w:val="clear" w:color="auto" w:fill="auto"/>
            <w:vAlign w:val="center"/>
            <w:hideMark/>
          </w:tcPr>
          <w:p w:rsidR="00C92CD6" w:rsidRPr="00C92CD6" w:rsidRDefault="00C92CD6" w:rsidP="00576272">
            <w:pPr>
              <w:jc w:val="center"/>
              <w:rPr>
                <w:color w:val="000000"/>
                <w:lang w:val="en-GB"/>
              </w:rPr>
            </w:pPr>
            <w:r w:rsidRPr="00C92CD6">
              <w:rPr>
                <w:color w:val="000000"/>
                <w:lang w:val="en-GB"/>
              </w:rPr>
              <w:t>Northern</w:t>
            </w:r>
          </w:p>
          <w:p w:rsidR="00C92CD6" w:rsidRPr="00C92CD6" w:rsidRDefault="00C92CD6" w:rsidP="00576272">
            <w:pPr>
              <w:jc w:val="center"/>
              <w:rPr>
                <w:color w:val="000000"/>
              </w:rPr>
            </w:pPr>
            <w:r w:rsidRPr="00C92CD6">
              <w:rPr>
                <w:color w:val="000000"/>
                <w:lang w:val="en-GB"/>
              </w:rPr>
              <w:t>Italy</w:t>
            </w:r>
          </w:p>
        </w:tc>
        <w:tc>
          <w:tcPr>
            <w:tcW w:w="810" w:type="dxa"/>
            <w:tcBorders>
              <w:top w:val="single" w:sz="4" w:space="0" w:color="auto"/>
              <w:left w:val="nil"/>
              <w:bottom w:val="single" w:sz="8" w:space="0" w:color="auto"/>
              <w:right w:val="single" w:sz="4"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Spain</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England</w:t>
            </w:r>
          </w:p>
        </w:tc>
        <w:tc>
          <w:tcPr>
            <w:tcW w:w="990" w:type="dxa"/>
            <w:tcBorders>
              <w:top w:val="single" w:sz="4" w:space="0" w:color="auto"/>
              <w:left w:val="nil"/>
              <w:bottom w:val="single" w:sz="8" w:space="0" w:color="auto"/>
              <w:right w:val="single" w:sz="4"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Holland</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Byzantium</w:t>
            </w:r>
          </w:p>
        </w:tc>
        <w:tc>
          <w:tcPr>
            <w:tcW w:w="630" w:type="dxa"/>
            <w:tcBorders>
              <w:top w:val="single" w:sz="4" w:space="0" w:color="auto"/>
              <w:left w:val="nil"/>
              <w:bottom w:val="single" w:sz="8" w:space="0" w:color="auto"/>
              <w:right w:val="single" w:sz="4"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 xml:space="preserve">Iraq </w:t>
            </w:r>
          </w:p>
        </w:tc>
        <w:tc>
          <w:tcPr>
            <w:tcW w:w="810" w:type="dxa"/>
            <w:tcBorders>
              <w:top w:val="single" w:sz="4" w:space="0" w:color="auto"/>
              <w:left w:val="nil"/>
              <w:bottom w:val="single" w:sz="8" w:space="0" w:color="auto"/>
              <w:right w:val="single" w:sz="4"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Egypt</w:t>
            </w:r>
          </w:p>
        </w:tc>
        <w:tc>
          <w:tcPr>
            <w:tcW w:w="810" w:type="dxa"/>
            <w:tcBorders>
              <w:top w:val="single" w:sz="4" w:space="0" w:color="auto"/>
              <w:left w:val="nil"/>
              <w:bottom w:val="single" w:sz="8" w:space="0" w:color="auto"/>
              <w:right w:val="single" w:sz="4"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Japan</w:t>
            </w:r>
          </w:p>
        </w:tc>
      </w:tr>
      <w:tr w:rsidR="00C92CD6" w:rsidRPr="00C92CD6" w:rsidTr="00576272">
        <w:trPr>
          <w:trHeight w:val="31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C92CD6" w:rsidRPr="00C92CD6" w:rsidRDefault="00C92CD6" w:rsidP="00576272">
            <w:pPr>
              <w:rPr>
                <w:color w:val="000000"/>
              </w:rPr>
            </w:pPr>
            <w:r w:rsidRPr="00C92CD6">
              <w:rPr>
                <w:color w:val="000000"/>
                <w:lang w:val="en-GB"/>
              </w:rPr>
              <w:t>1</w:t>
            </w:r>
          </w:p>
        </w:tc>
        <w:tc>
          <w:tcPr>
            <w:tcW w:w="117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800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600</w:t>
            </w:r>
          </w:p>
        </w:tc>
        <w:tc>
          <w:tcPr>
            <w:tcW w:w="108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600</w:t>
            </w:r>
          </w:p>
        </w:tc>
        <w:tc>
          <w:tcPr>
            <w:tcW w:w="99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600</w:t>
            </w:r>
          </w:p>
        </w:tc>
        <w:tc>
          <w:tcPr>
            <w:tcW w:w="135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700</w:t>
            </w:r>
          </w:p>
        </w:tc>
        <w:tc>
          <w:tcPr>
            <w:tcW w:w="63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700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700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r>
      <w:tr w:rsidR="00C92CD6" w:rsidRPr="00C92CD6" w:rsidTr="00576272">
        <w:trPr>
          <w:trHeight w:val="31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C92CD6" w:rsidRPr="00C92CD6" w:rsidRDefault="00C92CD6" w:rsidP="00576272">
            <w:pPr>
              <w:rPr>
                <w:color w:val="000000"/>
              </w:rPr>
            </w:pPr>
            <w:r w:rsidRPr="00C92CD6">
              <w:rPr>
                <w:color w:val="000000"/>
                <w:lang w:val="en-GB"/>
              </w:rPr>
              <w:t>730</w:t>
            </w:r>
          </w:p>
        </w:tc>
        <w:tc>
          <w:tcPr>
            <w:tcW w:w="117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08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9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35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63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920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730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402</w:t>
            </w:r>
          </w:p>
        </w:tc>
      </w:tr>
      <w:tr w:rsidR="00C92CD6" w:rsidRPr="00C92CD6" w:rsidTr="00576272">
        <w:trPr>
          <w:trHeight w:val="31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C92CD6" w:rsidRPr="00C92CD6" w:rsidRDefault="00C92CD6" w:rsidP="00576272">
            <w:pPr>
              <w:rPr>
                <w:color w:val="000000"/>
              </w:rPr>
            </w:pPr>
            <w:r w:rsidRPr="00C92CD6">
              <w:rPr>
                <w:color w:val="000000"/>
                <w:lang w:val="en-GB"/>
              </w:rPr>
              <w:t>1000</w:t>
            </w:r>
          </w:p>
        </w:tc>
        <w:tc>
          <w:tcPr>
            <w:tcW w:w="117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08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9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35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600</w:t>
            </w:r>
          </w:p>
        </w:tc>
        <w:tc>
          <w:tcPr>
            <w:tcW w:w="63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820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600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r>
      <w:tr w:rsidR="00C92CD6" w:rsidRPr="00C92CD6" w:rsidTr="00576272">
        <w:trPr>
          <w:trHeight w:val="31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C92CD6" w:rsidRPr="00C92CD6" w:rsidRDefault="00C92CD6" w:rsidP="00576272">
            <w:pPr>
              <w:rPr>
                <w:color w:val="000000"/>
              </w:rPr>
            </w:pPr>
            <w:r w:rsidRPr="00C92CD6">
              <w:rPr>
                <w:color w:val="000000"/>
                <w:lang w:val="en-GB"/>
              </w:rPr>
              <w:t>1150</w:t>
            </w:r>
          </w:p>
        </w:tc>
        <w:tc>
          <w:tcPr>
            <w:tcW w:w="117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08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9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35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580</w:t>
            </w:r>
          </w:p>
        </w:tc>
        <w:tc>
          <w:tcPr>
            <w:tcW w:w="63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680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660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520</w:t>
            </w:r>
          </w:p>
        </w:tc>
      </w:tr>
      <w:tr w:rsidR="00C92CD6" w:rsidRPr="00C92CD6" w:rsidTr="00576272">
        <w:trPr>
          <w:trHeight w:val="31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C92CD6" w:rsidRPr="00C92CD6" w:rsidRDefault="00C92CD6" w:rsidP="00576272">
            <w:pPr>
              <w:rPr>
                <w:color w:val="000000"/>
              </w:rPr>
            </w:pPr>
            <w:r w:rsidRPr="00C92CD6">
              <w:rPr>
                <w:color w:val="000000"/>
                <w:lang w:val="en-GB"/>
              </w:rPr>
              <w:t>1280</w:t>
            </w:r>
          </w:p>
        </w:tc>
        <w:tc>
          <w:tcPr>
            <w:tcW w:w="117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08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9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35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63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670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527</w:t>
            </w:r>
          </w:p>
        </w:tc>
      </w:tr>
      <w:tr w:rsidR="00C92CD6" w:rsidRPr="00C92CD6" w:rsidTr="00576272">
        <w:trPr>
          <w:trHeight w:val="31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C92CD6" w:rsidRPr="00C92CD6" w:rsidRDefault="00C92CD6" w:rsidP="00576272">
            <w:pPr>
              <w:rPr>
                <w:color w:val="000000"/>
              </w:rPr>
            </w:pPr>
            <w:r w:rsidRPr="00C92CD6">
              <w:rPr>
                <w:color w:val="000000"/>
                <w:lang w:val="en-GB"/>
              </w:rPr>
              <w:t>1300</w:t>
            </w:r>
          </w:p>
        </w:tc>
        <w:tc>
          <w:tcPr>
            <w:tcW w:w="117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1588</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864</w:t>
            </w:r>
          </w:p>
        </w:tc>
        <w:tc>
          <w:tcPr>
            <w:tcW w:w="108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892</w:t>
            </w:r>
          </w:p>
        </w:tc>
        <w:tc>
          <w:tcPr>
            <w:tcW w:w="99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135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63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610</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r>
      <w:tr w:rsidR="00C92CD6" w:rsidRPr="00C92CD6" w:rsidTr="00576272">
        <w:trPr>
          <w:trHeight w:val="31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C92CD6" w:rsidRPr="00C92CD6" w:rsidRDefault="00C92CD6" w:rsidP="00576272">
            <w:pPr>
              <w:rPr>
                <w:color w:val="000000"/>
              </w:rPr>
            </w:pPr>
            <w:r w:rsidRPr="00C92CD6">
              <w:rPr>
                <w:color w:val="000000"/>
                <w:lang w:val="en-GB"/>
              </w:rPr>
              <w:t>1348</w:t>
            </w:r>
          </w:p>
        </w:tc>
        <w:tc>
          <w:tcPr>
            <w:tcW w:w="117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1486</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907</w:t>
            </w:r>
          </w:p>
        </w:tc>
        <w:tc>
          <w:tcPr>
            <w:tcW w:w="108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919</w:t>
            </w:r>
          </w:p>
        </w:tc>
        <w:tc>
          <w:tcPr>
            <w:tcW w:w="99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876</w:t>
            </w:r>
          </w:p>
        </w:tc>
        <w:tc>
          <w:tcPr>
            <w:tcW w:w="135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580</w:t>
            </w:r>
          </w:p>
        </w:tc>
        <w:tc>
          <w:tcPr>
            <w:tcW w:w="63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4" w:space="0" w:color="auto"/>
              <w:right w:val="single" w:sz="4"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r>
    </w:tbl>
    <w:p w:rsidR="00C92CD6" w:rsidRPr="00C92CD6" w:rsidRDefault="00C92CD6" w:rsidP="00C92CD6">
      <w:pPr>
        <w:spacing w:line="360" w:lineRule="auto"/>
        <w:jc w:val="both"/>
        <w:rPr>
          <w:color w:val="000000"/>
          <w:lang w:val="en-GB"/>
        </w:rPr>
      </w:pPr>
    </w:p>
    <w:p w:rsidR="00C92CD6" w:rsidRPr="00C92CD6" w:rsidRDefault="00C92CD6" w:rsidP="00C92CD6">
      <w:pPr>
        <w:spacing w:line="360" w:lineRule="auto"/>
        <w:jc w:val="both"/>
        <w:rPr>
          <w:color w:val="000000"/>
          <w:lang w:val="en-GB"/>
        </w:rPr>
      </w:pPr>
    </w:p>
    <w:p w:rsidR="00C92CD6" w:rsidRPr="00C92CD6" w:rsidRDefault="00C92CD6" w:rsidP="00C92CD6">
      <w:pPr>
        <w:spacing w:line="360" w:lineRule="auto"/>
        <w:jc w:val="both"/>
        <w:rPr>
          <w:color w:val="000000"/>
          <w:lang w:val="en-GB"/>
        </w:rPr>
      </w:pPr>
      <w:r w:rsidRPr="00C92CD6">
        <w:rPr>
          <w:color w:val="000000"/>
          <w:lang w:val="en-GB"/>
        </w:rPr>
        <w:t>Table 1 contains the new estimates for the period before 1350. The estimates for the Roman Empire are more or less consistent with those for Medieval Byzantium, Iraq and Egypt; it is also clear that before 1000 the highest incomes were (probably) earned during the blossoming of the Islamic economy in 8</w:t>
      </w:r>
      <w:r w:rsidRPr="00C92CD6">
        <w:rPr>
          <w:color w:val="000000"/>
          <w:vertAlign w:val="superscript"/>
          <w:lang w:val="en-GB"/>
        </w:rPr>
        <w:t>th</w:t>
      </w:r>
      <w:r w:rsidRPr="00C92CD6">
        <w:rPr>
          <w:color w:val="000000"/>
          <w:lang w:val="en-GB"/>
        </w:rPr>
        <w:t xml:space="preserve"> century Iraq. These estimates for the early Middle Ages are by and large also consistent with those for Spain, England an Holland after 1200, where also real incomes at about 900 dollars per annum were being earned. We think that Italian real GDP for 1300 (actually 1310) may be somewhat overestimated by Malanima (2011) (a similar problem occurred with his and Lo Cascio’s estimates (2009) of  GDP in Roman times, which was also consider to be too high by Scheidel and Friesen 2009). Still, we keep the Italian estimates because of the lack of alternatives. The other country that really stands out is Japan, where income levels are much lower than in other pre industrial societies – especially the very tentative estimates for 720 is perhaps too low. The overall conclusion is however that those pre-industrial societies were able to achieve income levels that were much higher than subsistence (which is considered to be between 250 and 300 dollars of 1990). </w:t>
      </w:r>
    </w:p>
    <w:p w:rsidR="00C92CD6" w:rsidRPr="00C92CD6" w:rsidRDefault="00C92CD6" w:rsidP="00C92CD6">
      <w:pPr>
        <w:spacing w:line="360" w:lineRule="auto"/>
        <w:jc w:val="both"/>
        <w:rPr>
          <w:color w:val="000000"/>
          <w:lang w:val="en-GB"/>
        </w:rPr>
      </w:pPr>
    </w:p>
    <w:p w:rsidR="00C92CD6" w:rsidRPr="00C92CD6" w:rsidRDefault="00C92CD6" w:rsidP="00C92CD6">
      <w:pPr>
        <w:spacing w:line="360" w:lineRule="auto"/>
        <w:jc w:val="both"/>
        <w:rPr>
          <w:color w:val="000000"/>
          <w:lang w:val="en-GB"/>
        </w:rPr>
      </w:pPr>
    </w:p>
    <w:p w:rsidR="00C92CD6" w:rsidRPr="00C92CD6" w:rsidRDefault="00C92CD6" w:rsidP="00C92CD6">
      <w:pPr>
        <w:spacing w:line="360" w:lineRule="auto"/>
        <w:jc w:val="both"/>
        <w:rPr>
          <w:i/>
          <w:color w:val="000000"/>
          <w:lang w:val="en-GB"/>
        </w:rPr>
      </w:pPr>
      <w:r w:rsidRPr="00C92CD6">
        <w:rPr>
          <w:i/>
          <w:color w:val="000000"/>
          <w:lang w:val="en-GB"/>
        </w:rPr>
        <w:t>Table 2 GDP per capita in various parts of the world, 1348-1800</w:t>
      </w:r>
    </w:p>
    <w:tbl>
      <w:tblPr>
        <w:tblW w:w="8655" w:type="dxa"/>
        <w:tblInd w:w="93" w:type="dxa"/>
        <w:tblLayout w:type="fixed"/>
        <w:tblLook w:val="04A0" w:firstRow="1" w:lastRow="0" w:firstColumn="1" w:lastColumn="0" w:noHBand="0" w:noVBand="1"/>
      </w:tblPr>
      <w:tblGrid>
        <w:gridCol w:w="735"/>
        <w:gridCol w:w="1011"/>
        <w:gridCol w:w="969"/>
        <w:gridCol w:w="990"/>
        <w:gridCol w:w="720"/>
        <w:gridCol w:w="810"/>
        <w:gridCol w:w="810"/>
        <w:gridCol w:w="720"/>
        <w:gridCol w:w="900"/>
        <w:gridCol w:w="990"/>
      </w:tblGrid>
      <w:tr w:rsidR="00C92CD6" w:rsidRPr="00C92CD6" w:rsidTr="00576272">
        <w:trPr>
          <w:trHeight w:val="645"/>
        </w:trPr>
        <w:tc>
          <w:tcPr>
            <w:tcW w:w="73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lang w:val="en-GB"/>
              </w:rPr>
            </w:pPr>
            <w:r w:rsidRPr="00C92CD6">
              <w:rPr>
                <w:color w:val="000000"/>
                <w:lang w:val="en-GB"/>
              </w:rPr>
              <w:t> </w:t>
            </w:r>
          </w:p>
        </w:tc>
        <w:tc>
          <w:tcPr>
            <w:tcW w:w="1011"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Northern Italy</w:t>
            </w:r>
          </w:p>
        </w:tc>
        <w:tc>
          <w:tcPr>
            <w:tcW w:w="969"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 xml:space="preserve">Holland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 xml:space="preserve">England </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 xml:space="preserve">Spain </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 xml:space="preserve">USA </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 xml:space="preserve">Japan </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 xml:space="preserve">India </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 xml:space="preserve">Cape Colony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 xml:space="preserve">Ottoman Empire </w:t>
            </w:r>
          </w:p>
        </w:tc>
      </w:tr>
      <w:tr w:rsidR="00C92CD6" w:rsidRPr="00C92CD6" w:rsidTr="00576272">
        <w:trPr>
          <w:trHeight w:val="315"/>
        </w:trPr>
        <w:tc>
          <w:tcPr>
            <w:tcW w:w="735" w:type="dxa"/>
            <w:vMerge w:val="restart"/>
            <w:tcBorders>
              <w:top w:val="nil"/>
              <w:left w:val="single" w:sz="8" w:space="0" w:color="auto"/>
              <w:bottom w:val="single" w:sz="8" w:space="0" w:color="000000"/>
              <w:right w:val="single" w:sz="8"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1348</w:t>
            </w:r>
          </w:p>
        </w:tc>
        <w:tc>
          <w:tcPr>
            <w:tcW w:w="1011"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1486</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876</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919</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907</w:t>
            </w:r>
          </w:p>
        </w:tc>
        <w:tc>
          <w:tcPr>
            <w:tcW w:w="81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nil"/>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527</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580</w:t>
            </w:r>
          </w:p>
        </w:tc>
      </w:tr>
      <w:tr w:rsidR="00C92CD6" w:rsidRPr="00C92CD6" w:rsidTr="00576272">
        <w:trPr>
          <w:trHeight w:val="330"/>
        </w:trPr>
        <w:tc>
          <w:tcPr>
            <w:tcW w:w="735"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1011"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69"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9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72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81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81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(1280)</w:t>
            </w:r>
          </w:p>
        </w:tc>
        <w:tc>
          <w:tcPr>
            <w:tcW w:w="72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0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9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r>
      <w:tr w:rsidR="00C92CD6" w:rsidRPr="00C92CD6" w:rsidTr="00576272">
        <w:trPr>
          <w:trHeight w:val="315"/>
        </w:trPr>
        <w:tc>
          <w:tcPr>
            <w:tcW w:w="735" w:type="dxa"/>
            <w:vMerge w:val="restart"/>
            <w:tcBorders>
              <w:top w:val="nil"/>
              <w:left w:val="single" w:sz="8" w:space="0" w:color="auto"/>
              <w:bottom w:val="single" w:sz="8" w:space="0" w:color="000000"/>
              <w:right w:val="single" w:sz="8" w:space="0" w:color="auto"/>
            </w:tcBorders>
            <w:shd w:val="clear" w:color="auto" w:fill="auto"/>
            <w:vAlign w:val="center"/>
            <w:hideMark/>
          </w:tcPr>
          <w:p w:rsidR="00C92CD6" w:rsidRPr="00C92CD6" w:rsidRDefault="00C92CD6" w:rsidP="00576272">
            <w:pPr>
              <w:rPr>
                <w:color w:val="000000"/>
              </w:rPr>
            </w:pPr>
            <w:r w:rsidRPr="00C92CD6">
              <w:rPr>
                <w:color w:val="000000"/>
                <w:lang w:val="en-GB"/>
              </w:rPr>
              <w:t>1400</w:t>
            </w:r>
          </w:p>
        </w:tc>
        <w:tc>
          <w:tcPr>
            <w:tcW w:w="1011"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1716</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1195</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1205</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819</w:t>
            </w:r>
          </w:p>
        </w:tc>
        <w:tc>
          <w:tcPr>
            <w:tcW w:w="81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nil"/>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527</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r>
      <w:tr w:rsidR="00C92CD6" w:rsidRPr="00C92CD6" w:rsidTr="00576272">
        <w:trPr>
          <w:trHeight w:val="330"/>
        </w:trPr>
        <w:tc>
          <w:tcPr>
            <w:tcW w:w="735"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1011"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69"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9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72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81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81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(1450)</w:t>
            </w:r>
          </w:p>
        </w:tc>
        <w:tc>
          <w:tcPr>
            <w:tcW w:w="72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0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9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r>
      <w:tr w:rsidR="00C92CD6" w:rsidRPr="00C92CD6" w:rsidTr="00576272">
        <w:trPr>
          <w:trHeight w:val="330"/>
        </w:trPr>
        <w:tc>
          <w:tcPr>
            <w:tcW w:w="735" w:type="dxa"/>
            <w:tcBorders>
              <w:top w:val="nil"/>
              <w:left w:val="single" w:sz="8" w:space="0" w:color="auto"/>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1500</w:t>
            </w:r>
          </w:p>
        </w:tc>
        <w:tc>
          <w:tcPr>
            <w:tcW w:w="1011"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1503</w:t>
            </w:r>
          </w:p>
        </w:tc>
        <w:tc>
          <w:tcPr>
            <w:tcW w:w="969"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1454</w:t>
            </w:r>
          </w:p>
        </w:tc>
        <w:tc>
          <w:tcPr>
            <w:tcW w:w="99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1134</w:t>
            </w:r>
          </w:p>
        </w:tc>
        <w:tc>
          <w:tcPr>
            <w:tcW w:w="72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846</w:t>
            </w:r>
          </w:p>
        </w:tc>
        <w:tc>
          <w:tcPr>
            <w:tcW w:w="81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81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72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0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9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660</w:t>
            </w:r>
          </w:p>
        </w:tc>
      </w:tr>
      <w:tr w:rsidR="00C92CD6" w:rsidRPr="00C92CD6" w:rsidTr="00576272">
        <w:trPr>
          <w:trHeight w:val="645"/>
        </w:trPr>
        <w:tc>
          <w:tcPr>
            <w:tcW w:w="735" w:type="dxa"/>
            <w:tcBorders>
              <w:top w:val="nil"/>
              <w:left w:val="single" w:sz="8" w:space="0" w:color="auto"/>
              <w:bottom w:val="single" w:sz="8" w:space="0" w:color="auto"/>
              <w:right w:val="single" w:sz="8" w:space="0" w:color="auto"/>
            </w:tcBorders>
            <w:shd w:val="clear" w:color="auto" w:fill="auto"/>
            <w:vAlign w:val="center"/>
            <w:hideMark/>
          </w:tcPr>
          <w:p w:rsidR="00C92CD6" w:rsidRPr="00C92CD6" w:rsidRDefault="00C92CD6" w:rsidP="00576272">
            <w:pPr>
              <w:jc w:val="both"/>
              <w:rPr>
                <w:color w:val="000000"/>
              </w:rPr>
            </w:pPr>
            <w:r w:rsidRPr="00C92CD6">
              <w:rPr>
                <w:color w:val="000000"/>
                <w:lang w:val="en-GB"/>
              </w:rPr>
              <w:t>1600</w:t>
            </w:r>
          </w:p>
        </w:tc>
        <w:tc>
          <w:tcPr>
            <w:tcW w:w="1011"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1336</w:t>
            </w:r>
          </w:p>
        </w:tc>
        <w:tc>
          <w:tcPr>
            <w:tcW w:w="969"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2662</w:t>
            </w:r>
          </w:p>
        </w:tc>
        <w:tc>
          <w:tcPr>
            <w:tcW w:w="99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1167</w:t>
            </w:r>
          </w:p>
        </w:tc>
        <w:tc>
          <w:tcPr>
            <w:tcW w:w="72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892</w:t>
            </w:r>
          </w:p>
        </w:tc>
        <w:tc>
          <w:tcPr>
            <w:tcW w:w="81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587 (1650)</w:t>
            </w:r>
          </w:p>
        </w:tc>
        <w:tc>
          <w:tcPr>
            <w:tcW w:w="81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574</w:t>
            </w:r>
          </w:p>
        </w:tc>
        <w:tc>
          <w:tcPr>
            <w:tcW w:w="72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793</w:t>
            </w:r>
          </w:p>
        </w:tc>
        <w:tc>
          <w:tcPr>
            <w:tcW w:w="90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c>
          <w:tcPr>
            <w:tcW w:w="99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 </w:t>
            </w:r>
          </w:p>
        </w:tc>
      </w:tr>
      <w:tr w:rsidR="00C92CD6" w:rsidRPr="00C92CD6" w:rsidTr="00576272">
        <w:trPr>
          <w:trHeight w:val="330"/>
        </w:trPr>
        <w:tc>
          <w:tcPr>
            <w:tcW w:w="735" w:type="dxa"/>
            <w:tcBorders>
              <w:top w:val="nil"/>
              <w:left w:val="single" w:sz="8" w:space="0" w:color="auto"/>
              <w:bottom w:val="single" w:sz="8" w:space="0" w:color="auto"/>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1700</w:t>
            </w:r>
          </w:p>
        </w:tc>
        <w:tc>
          <w:tcPr>
            <w:tcW w:w="1011"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1447</w:t>
            </w:r>
          </w:p>
        </w:tc>
        <w:tc>
          <w:tcPr>
            <w:tcW w:w="969"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2105</w:t>
            </w:r>
          </w:p>
        </w:tc>
        <w:tc>
          <w:tcPr>
            <w:tcW w:w="99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1540</w:t>
            </w:r>
          </w:p>
        </w:tc>
        <w:tc>
          <w:tcPr>
            <w:tcW w:w="72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814</w:t>
            </w:r>
          </w:p>
        </w:tc>
        <w:tc>
          <w:tcPr>
            <w:tcW w:w="81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900</w:t>
            </w:r>
          </w:p>
        </w:tc>
        <w:tc>
          <w:tcPr>
            <w:tcW w:w="81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629</w:t>
            </w:r>
          </w:p>
        </w:tc>
        <w:tc>
          <w:tcPr>
            <w:tcW w:w="72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729</w:t>
            </w:r>
          </w:p>
        </w:tc>
        <w:tc>
          <w:tcPr>
            <w:tcW w:w="90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1703</w:t>
            </w:r>
          </w:p>
        </w:tc>
        <w:tc>
          <w:tcPr>
            <w:tcW w:w="99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700</w:t>
            </w:r>
          </w:p>
        </w:tc>
      </w:tr>
      <w:tr w:rsidR="00C92CD6" w:rsidRPr="00C92CD6" w:rsidTr="00576272">
        <w:trPr>
          <w:trHeight w:val="315"/>
        </w:trPr>
        <w:tc>
          <w:tcPr>
            <w:tcW w:w="735"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both"/>
              <w:rPr>
                <w:color w:val="000000"/>
              </w:rPr>
            </w:pPr>
            <w:r w:rsidRPr="00C92CD6">
              <w:rPr>
                <w:color w:val="000000"/>
                <w:lang w:val="en-GB"/>
              </w:rPr>
              <w:t>1800</w:t>
            </w:r>
          </w:p>
        </w:tc>
        <w:tc>
          <w:tcPr>
            <w:tcW w:w="1011"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1336</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2609</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2200</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916</w:t>
            </w:r>
          </w:p>
        </w:tc>
        <w:tc>
          <w:tcPr>
            <w:tcW w:w="81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1296</w:t>
            </w:r>
          </w:p>
        </w:tc>
        <w:tc>
          <w:tcPr>
            <w:tcW w:w="81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641</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648</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959</w:t>
            </w:r>
          </w:p>
        </w:tc>
        <w:tc>
          <w:tcPr>
            <w:tcW w:w="990" w:type="dxa"/>
            <w:tcBorders>
              <w:top w:val="nil"/>
              <w:left w:val="nil"/>
              <w:bottom w:val="nil"/>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740</w:t>
            </w:r>
          </w:p>
        </w:tc>
      </w:tr>
      <w:tr w:rsidR="00C92CD6" w:rsidRPr="00C92CD6" w:rsidTr="00576272">
        <w:trPr>
          <w:trHeight w:val="330"/>
        </w:trPr>
        <w:tc>
          <w:tcPr>
            <w:tcW w:w="735"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1011"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69"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9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72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81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81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72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00" w:type="dxa"/>
            <w:vMerge/>
            <w:tcBorders>
              <w:top w:val="nil"/>
              <w:left w:val="single" w:sz="8" w:space="0" w:color="auto"/>
              <w:bottom w:val="single" w:sz="8" w:space="0" w:color="000000"/>
              <w:right w:val="single" w:sz="8" w:space="0" w:color="auto"/>
            </w:tcBorders>
            <w:vAlign w:val="center"/>
            <w:hideMark/>
          </w:tcPr>
          <w:p w:rsidR="00C92CD6" w:rsidRPr="00C92CD6" w:rsidRDefault="00C92CD6" w:rsidP="00576272">
            <w:pPr>
              <w:rPr>
                <w:color w:val="000000"/>
              </w:rPr>
            </w:pPr>
          </w:p>
        </w:tc>
        <w:tc>
          <w:tcPr>
            <w:tcW w:w="990" w:type="dxa"/>
            <w:tcBorders>
              <w:top w:val="nil"/>
              <w:left w:val="nil"/>
              <w:bottom w:val="single" w:sz="8" w:space="0" w:color="auto"/>
              <w:right w:val="single" w:sz="8" w:space="0" w:color="auto"/>
            </w:tcBorders>
            <w:shd w:val="clear" w:color="auto" w:fill="auto"/>
            <w:vAlign w:val="bottom"/>
            <w:hideMark/>
          </w:tcPr>
          <w:p w:rsidR="00C92CD6" w:rsidRPr="00C92CD6" w:rsidRDefault="00C92CD6" w:rsidP="00576272">
            <w:pPr>
              <w:jc w:val="center"/>
              <w:rPr>
                <w:color w:val="000000"/>
              </w:rPr>
            </w:pPr>
            <w:r w:rsidRPr="00C92CD6">
              <w:rPr>
                <w:color w:val="000000"/>
                <w:lang w:val="en-GB"/>
              </w:rPr>
              <w:t>(1820)</w:t>
            </w:r>
          </w:p>
        </w:tc>
      </w:tr>
    </w:tbl>
    <w:p w:rsidR="00C92CD6" w:rsidRPr="00C92CD6" w:rsidRDefault="00C92CD6" w:rsidP="00C92CD6">
      <w:pPr>
        <w:spacing w:line="360" w:lineRule="auto"/>
        <w:jc w:val="both"/>
        <w:rPr>
          <w:color w:val="000000"/>
          <w:lang w:val="en-GB"/>
        </w:rPr>
      </w:pPr>
    </w:p>
    <w:p w:rsidR="00C92CD6" w:rsidRPr="00C92CD6" w:rsidRDefault="00C92CD6" w:rsidP="00C92CD6">
      <w:pPr>
        <w:spacing w:line="360" w:lineRule="auto"/>
        <w:jc w:val="both"/>
        <w:rPr>
          <w:color w:val="000000"/>
          <w:lang w:val="en-GB"/>
        </w:rPr>
      </w:pPr>
    </w:p>
    <w:p w:rsidR="00C92CD6" w:rsidRPr="00C92CD6" w:rsidRDefault="00C92CD6" w:rsidP="00C92CD6">
      <w:pPr>
        <w:spacing w:line="360" w:lineRule="auto"/>
        <w:jc w:val="both"/>
        <w:rPr>
          <w:color w:val="000000"/>
          <w:lang w:val="en-GB"/>
        </w:rPr>
      </w:pPr>
      <w:r w:rsidRPr="00C92CD6">
        <w:rPr>
          <w:color w:val="000000"/>
          <w:lang w:val="en-GB"/>
        </w:rPr>
        <w:t>Table 2 shows income per capita for various parts of the world after 1350. We observe a number of patterns. To begin with, there is consistent growth of GDP per capita in the North Sea area from c 900 dollars before the Black Death, to more than 2000 dollars at about 1800, making it into the most prosperous part of the world economy at that time; real incomes in North America develop similarly, and show continues growth between 1650 and 1800. The Industrial Revolution that began in the UK (and quickly spread to Western Europe and North America) was therefore not a sudden break in economic performance, but a continuation of the growth record since the Late Middle Ages (Van Zanden 2009).</w:t>
      </w:r>
    </w:p>
    <w:p w:rsidR="00C92CD6" w:rsidRPr="00C92CD6" w:rsidRDefault="00C92CD6" w:rsidP="00C92CD6">
      <w:pPr>
        <w:spacing w:line="360" w:lineRule="auto"/>
        <w:jc w:val="both"/>
        <w:rPr>
          <w:color w:val="000000"/>
          <w:lang w:val="en-GB"/>
        </w:rPr>
      </w:pPr>
      <w:r w:rsidRPr="00C92CD6">
        <w:rPr>
          <w:color w:val="000000"/>
          <w:lang w:val="en-GB"/>
        </w:rPr>
        <w:t>Slave-based societies were in this period also characterized by high levels of real GDP – we included the Cape Colony as a typical example, but tentative estimates of GDP per capita of Cuba and Barbados in 1700 point in the same direction. Sokoloff and Engerman (2000: 219) estimated that these islands in 1700 had a GDP per capita 67% and 50% higher than the USA at the time. Two factors are relevant in explaining relative high levels of income: the low dependency ratios of slave-importing societies (for the Cape Colony it was estimated that a ‘balanced’ population structure would imply an almost doubling of total population – given the size of the productive, male labour force (Fourie and Van Zanden 2012). Moreover, these slave societies were also highly capital-intensive and commercialized – almost completely geared to the export market - which also helps explain their high productivity. Of course, in these cases, success in the 17</w:t>
      </w:r>
      <w:r w:rsidRPr="00C92CD6">
        <w:rPr>
          <w:color w:val="000000"/>
          <w:vertAlign w:val="superscript"/>
          <w:lang w:val="en-GB"/>
        </w:rPr>
        <w:t>th</w:t>
      </w:r>
      <w:r w:rsidRPr="00C92CD6">
        <w:rPr>
          <w:color w:val="000000"/>
          <w:lang w:val="en-GB"/>
        </w:rPr>
        <w:t xml:space="preserve"> and 18</w:t>
      </w:r>
      <w:r w:rsidRPr="00C92CD6">
        <w:rPr>
          <w:color w:val="000000"/>
          <w:vertAlign w:val="superscript"/>
          <w:lang w:val="en-GB"/>
        </w:rPr>
        <w:t>th</w:t>
      </w:r>
      <w:r w:rsidRPr="00C92CD6">
        <w:rPr>
          <w:color w:val="000000"/>
          <w:lang w:val="en-GB"/>
        </w:rPr>
        <w:t xml:space="preserve"> century was not a guarantee for success in the post emancipation/post Industrial Revolution world. </w:t>
      </w:r>
    </w:p>
    <w:p w:rsidR="00C92CD6" w:rsidRPr="00C92CD6" w:rsidRDefault="00C92CD6" w:rsidP="00C92CD6">
      <w:pPr>
        <w:spacing w:line="360" w:lineRule="auto"/>
        <w:ind w:firstLine="360"/>
        <w:jc w:val="both"/>
        <w:rPr>
          <w:color w:val="000000"/>
          <w:lang w:val="en-GB"/>
        </w:rPr>
      </w:pPr>
      <w:r w:rsidRPr="00C92CD6">
        <w:rPr>
          <w:color w:val="000000"/>
          <w:lang w:val="en-GB"/>
        </w:rPr>
        <w:t>The rest of Europe is characterized by no growth (Spain, Sweden, Portugal, Belgium, Germany – only Spain included in the table), or by an initial rise in income followed by a strong decline (Italy). However, levels of GDP per capita are quite high in large parts of Western Europe (Sweden may be the exception here); the average for Western Europe was about 1100-1300 dollars between 1400 and 1800, which is much higher than (for example) the Roman Empire, Iraq in the 8</w:t>
      </w:r>
      <w:r w:rsidRPr="00C92CD6">
        <w:rPr>
          <w:color w:val="000000"/>
          <w:vertAlign w:val="superscript"/>
          <w:lang w:val="en-GB"/>
        </w:rPr>
        <w:t>th</w:t>
      </w:r>
      <w:r w:rsidRPr="00C92CD6">
        <w:rPr>
          <w:color w:val="000000"/>
          <w:lang w:val="en-GB"/>
        </w:rPr>
        <w:t xml:space="preserve"> century or any other pre 1800 society. In particular the gap with Japan was large – but Japan was also growing consistently during the centuries, both in GDP per capita and in population. The gap with India was relatively small in 1600, but real incomes there began to fall during and after the disintegration of the Moghul Empire, leading to an increased divergence with Europe (Broadberry and Gupta 2012). The Ottoman Empire showed (perhaps surprisingly) almost continuous growth in the very long run, at a level somewhat higher than that of Japan.</w:t>
      </w:r>
    </w:p>
    <w:p w:rsidR="00C92CD6" w:rsidRPr="00C92CD6" w:rsidRDefault="00C92CD6" w:rsidP="00C92CD6">
      <w:pPr>
        <w:spacing w:line="360" w:lineRule="auto"/>
        <w:ind w:firstLine="360"/>
        <w:jc w:val="both"/>
        <w:rPr>
          <w:color w:val="000000"/>
          <w:lang w:val="en-GB"/>
        </w:rPr>
      </w:pPr>
      <w:r w:rsidRPr="00C92CD6">
        <w:rPr>
          <w:color w:val="000000"/>
          <w:lang w:val="en-GB"/>
        </w:rPr>
        <w:t xml:space="preserve">Now that we have integrated all available new work in the Maddison database, the question is to what extend this changes the picture of long term global development. Generally speaking, the world economy in 1820 as we can reconstruct now, does not look very different from the one put together by Maddison – it is only the road up to 1820 that is probably somewhat different than he thought. Our new estimates (and checks on the old estimates) confirm that there was a large gap in real income between Western Europe on the one hand (where the average income was nearly 1400 dollars) and the rest of the world. Within Western Europe substantial differences existed – ranging from 2075 dollars in Great Britain to </w:t>
      </w:r>
      <w:r w:rsidRPr="00C92CD6">
        <w:rPr>
          <w:lang w:val="en-GB"/>
        </w:rPr>
        <w:t>780</w:t>
      </w:r>
      <w:r w:rsidRPr="00C92CD6">
        <w:rPr>
          <w:color w:val="000000"/>
          <w:lang w:val="en-GB"/>
        </w:rPr>
        <w:t xml:space="preserve"> dollars in Finland. Northern America (USA 1360 dollars) and the southern cone of Latin America (Argentine: 1016, Uruguay: 1165) came very close to the Western European average (or even surpassed it, as in the case of the USA). The average for Latin America was much lower, however (about 640 dollars; Mexico: 627 dollars). The other southern cones did not much better: Cape Colony: about 750 dollars, Australia only 518 dollars. The most populous parts of the world – China, India, and Indonesia – range between 530 and 600 dollars, about half the Western European level. Japan has a somewhat higher real income (660 dollars), as has the Ottoman Empire (740 dollars). Global inequality is still modest: the most wealthy country (GB) is ‘only’ about 4 times as rich as the poorest one in 1820 (Java: 528 dollars, or Australia : 518 dollars). </w:t>
      </w:r>
    </w:p>
    <w:p w:rsidR="00C92CD6" w:rsidRPr="00C92CD6" w:rsidRDefault="00C92CD6" w:rsidP="00C92CD6">
      <w:pPr>
        <w:spacing w:line="360" w:lineRule="auto"/>
        <w:jc w:val="both"/>
        <w:rPr>
          <w:color w:val="000000"/>
          <w:lang w:val="en-GB"/>
        </w:rPr>
      </w:pPr>
    </w:p>
    <w:p w:rsidR="00C92CD6" w:rsidRPr="00C92CD6" w:rsidRDefault="00C92CD6" w:rsidP="00C92CD6">
      <w:pPr>
        <w:spacing w:line="360" w:lineRule="auto"/>
        <w:jc w:val="both"/>
        <w:rPr>
          <w:b/>
          <w:color w:val="000000"/>
          <w:lang w:val="en-GB"/>
        </w:rPr>
      </w:pPr>
      <w:r w:rsidRPr="00C92CD6">
        <w:rPr>
          <w:b/>
          <w:color w:val="000000"/>
          <w:lang w:val="en-GB"/>
        </w:rPr>
        <w:t>Conclusion</w:t>
      </w:r>
    </w:p>
    <w:p w:rsidR="00C92CD6" w:rsidRPr="00C92CD6" w:rsidRDefault="00C92CD6" w:rsidP="00C92CD6">
      <w:pPr>
        <w:pStyle w:val="NormalWeb"/>
        <w:spacing w:line="360" w:lineRule="auto"/>
        <w:jc w:val="both"/>
        <w:rPr>
          <w:rFonts w:asciiTheme="minorHAnsi" w:hAnsiTheme="minorHAnsi"/>
          <w:sz w:val="22"/>
          <w:szCs w:val="22"/>
          <w:lang w:val="en-GB"/>
        </w:rPr>
      </w:pPr>
      <w:r w:rsidRPr="00C92CD6">
        <w:rPr>
          <w:rFonts w:asciiTheme="minorHAnsi" w:hAnsiTheme="minorHAnsi"/>
          <w:sz w:val="22"/>
          <w:szCs w:val="22"/>
          <w:lang w:val="en-GB"/>
        </w:rPr>
        <w:t>Summing up, a substantial amount of new work has been published in the past ten years which is generally consistent with the picture Maddison put forward in his 2001/2003 framework. The most severe criticisms at his estimates by Pomeranz (2000) and other specialists on Asian economic history, that he systematically underestimated real incomes in large parts of Asia in the 18</w:t>
      </w:r>
      <w:r w:rsidRPr="00C92CD6">
        <w:rPr>
          <w:rFonts w:asciiTheme="minorHAnsi" w:hAnsiTheme="minorHAnsi"/>
          <w:sz w:val="22"/>
          <w:szCs w:val="22"/>
          <w:vertAlign w:val="superscript"/>
          <w:lang w:val="en-GB"/>
        </w:rPr>
        <w:t>th</w:t>
      </w:r>
      <w:r w:rsidRPr="00C92CD6">
        <w:rPr>
          <w:rFonts w:asciiTheme="minorHAnsi" w:hAnsiTheme="minorHAnsi"/>
          <w:sz w:val="22"/>
          <w:szCs w:val="22"/>
          <w:lang w:val="en-GB"/>
        </w:rPr>
        <w:t xml:space="preserve"> and early 19</w:t>
      </w:r>
      <w:r w:rsidRPr="00C92CD6">
        <w:rPr>
          <w:rFonts w:asciiTheme="minorHAnsi" w:hAnsiTheme="minorHAnsi"/>
          <w:sz w:val="22"/>
          <w:szCs w:val="22"/>
          <w:vertAlign w:val="superscript"/>
          <w:lang w:val="en-GB"/>
        </w:rPr>
        <w:t>th</w:t>
      </w:r>
      <w:r w:rsidRPr="00C92CD6">
        <w:rPr>
          <w:rFonts w:asciiTheme="minorHAnsi" w:hAnsiTheme="minorHAnsi"/>
          <w:sz w:val="22"/>
          <w:szCs w:val="22"/>
          <w:lang w:val="en-GB"/>
        </w:rPr>
        <w:t xml:space="preserve"> century, has generally been proven wrong: detailed research by scholars working on India, Indonesia, Japan and China has shown that the magnitude of the real income gap as estimated by Maddison was about right. Another important result is that Maddison might have overestimated growth in Europe between 1300 and 1800, and that levels of real income were already quite high during the late Middle Ages. We now also know much more about long term trends in real incomes in Western Europe (England, Holland, Spain, Germany etc.), in the United States, in Japan, India and South Africa than we knew ten years ago. </w:t>
      </w:r>
    </w:p>
    <w:p w:rsidR="00C92CD6" w:rsidRPr="00C92CD6" w:rsidRDefault="00C92CD6" w:rsidP="00C92CD6">
      <w:pPr>
        <w:spacing w:line="360" w:lineRule="auto"/>
        <w:jc w:val="both"/>
        <w:rPr>
          <w:color w:val="000000"/>
          <w:lang w:val="en-GB"/>
        </w:rPr>
      </w:pPr>
    </w:p>
    <w:p w:rsidR="008274E7" w:rsidRPr="00C92CD6" w:rsidRDefault="008274E7" w:rsidP="00C92CD6">
      <w:pPr>
        <w:pStyle w:val="NormalWeb"/>
        <w:spacing w:line="360" w:lineRule="auto"/>
        <w:jc w:val="both"/>
        <w:rPr>
          <w:rFonts w:asciiTheme="minorHAnsi" w:hAnsiTheme="minorHAnsi"/>
          <w:sz w:val="22"/>
          <w:szCs w:val="22"/>
          <w:lang w:val="en-GB"/>
        </w:rPr>
      </w:pPr>
    </w:p>
    <w:sectPr w:rsidR="008274E7" w:rsidRPr="00C92CD6" w:rsidSect="007A5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D2" w:rsidRDefault="00D27CD2" w:rsidP="00CE352A">
      <w:r>
        <w:separator/>
      </w:r>
    </w:p>
  </w:endnote>
  <w:endnote w:type="continuationSeparator" w:id="0">
    <w:p w:rsidR="00D27CD2" w:rsidRDefault="00D27CD2" w:rsidP="00CE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D2" w:rsidRDefault="00D27CD2" w:rsidP="00CE352A">
      <w:r>
        <w:separator/>
      </w:r>
    </w:p>
  </w:footnote>
  <w:footnote w:type="continuationSeparator" w:id="0">
    <w:p w:rsidR="00D27CD2" w:rsidRDefault="00D27CD2" w:rsidP="00CE352A">
      <w:r>
        <w:continuationSeparator/>
      </w:r>
    </w:p>
  </w:footnote>
  <w:footnote w:id="1">
    <w:p w:rsidR="00C92CD6" w:rsidRPr="00085344" w:rsidRDefault="00C92CD6" w:rsidP="00C92CD6">
      <w:pPr>
        <w:pStyle w:val="FootnoteText"/>
        <w:rPr>
          <w:rFonts w:ascii="Times New Roman" w:hAnsi="Times New Roman"/>
        </w:rPr>
      </w:pPr>
      <w:r w:rsidRPr="00085344">
        <w:rPr>
          <w:rStyle w:val="FootnoteReference"/>
          <w:rFonts w:ascii="Times New Roman" w:hAnsi="Times New Roman"/>
        </w:rPr>
        <w:footnoteRef/>
      </w:r>
      <w:r w:rsidRPr="00085344">
        <w:rPr>
          <w:rFonts w:ascii="Times New Roman" w:hAnsi="Times New Roman"/>
        </w:rPr>
        <w:t xml:space="preserve"> For nearly all countries included in the Total Economy Database of the Conference Board, we used the 1990 -2010 estimates from the Conference Board. For exceptions, see Appendix 1.</w:t>
      </w:r>
    </w:p>
  </w:footnote>
  <w:footnote w:id="2">
    <w:p w:rsidR="00C92CD6" w:rsidRPr="008040F2" w:rsidRDefault="00C92CD6" w:rsidP="00C92CD6">
      <w:pPr>
        <w:pStyle w:val="FootnoteText"/>
        <w:rPr>
          <w:rFonts w:ascii="Times New Roman" w:hAnsi="Times New Roman"/>
        </w:rPr>
      </w:pPr>
      <w:r w:rsidRPr="008040F2">
        <w:rPr>
          <w:rStyle w:val="FootnoteReference"/>
          <w:rFonts w:ascii="Times New Roman" w:hAnsi="Times New Roman"/>
        </w:rPr>
        <w:footnoteRef/>
      </w:r>
      <w:r w:rsidRPr="008040F2">
        <w:rPr>
          <w:rFonts w:ascii="Times New Roman" w:hAnsi="Times New Roman"/>
        </w:rPr>
        <w:t xml:space="preserve"> We linked the new Greece series to the Maddison estimates in 1914; the new series show less growth for Greece than the previous estimates as a result of which Greece now seems to be more wealthy during the middle decades of the 19</w:t>
      </w:r>
      <w:r w:rsidRPr="008040F2">
        <w:rPr>
          <w:rFonts w:ascii="Times New Roman" w:hAnsi="Times New Roman"/>
          <w:vertAlign w:val="superscript"/>
        </w:rPr>
        <w:t>th</w:t>
      </w:r>
      <w:r w:rsidRPr="008040F2">
        <w:rPr>
          <w:rFonts w:ascii="Times New Roman" w:hAnsi="Times New Roman"/>
        </w:rPr>
        <w:t xml:space="preserve"> century (as wealthy as Spain).</w:t>
      </w:r>
    </w:p>
  </w:footnote>
  <w:footnote w:id="3">
    <w:p w:rsidR="00C92CD6" w:rsidRPr="008245A0" w:rsidRDefault="00C92CD6" w:rsidP="00C92CD6">
      <w:pPr>
        <w:pStyle w:val="FootnoteText"/>
      </w:pPr>
      <w:r w:rsidRPr="008040F2">
        <w:rPr>
          <w:rStyle w:val="FootnoteReference"/>
          <w:rFonts w:ascii="Times New Roman" w:hAnsi="Times New Roman"/>
        </w:rPr>
        <w:footnoteRef/>
      </w:r>
      <w:r w:rsidRPr="008040F2">
        <w:rPr>
          <w:rFonts w:ascii="Times New Roman" w:hAnsi="Times New Roman"/>
        </w:rPr>
        <w:t xml:space="preserve"> We also added new data for the former Yugoslavia and its successor states between 1952 and 2008 (Milanovic 2011)</w:t>
      </w:r>
      <w:r>
        <w:rPr>
          <w:rFonts w:ascii="Times New Roman" w:hAnsi="Times New Roman"/>
        </w:rPr>
        <w:t xml:space="preserve">. </w:t>
      </w:r>
    </w:p>
  </w:footnote>
  <w:footnote w:id="4">
    <w:p w:rsidR="00C92CD6" w:rsidRPr="00DC4D66" w:rsidRDefault="00C92CD6" w:rsidP="00C92CD6">
      <w:pPr>
        <w:pStyle w:val="FootnoteText"/>
        <w:rPr>
          <w:rFonts w:ascii="Times New Roman" w:hAnsi="Times New Roman"/>
        </w:rPr>
      </w:pPr>
      <w:r w:rsidRPr="00151C36">
        <w:rPr>
          <w:rStyle w:val="FootnoteReference"/>
          <w:rFonts w:ascii="Times New Roman" w:hAnsi="Times New Roman"/>
        </w:rPr>
        <w:footnoteRef/>
      </w:r>
      <w:r w:rsidRPr="00151C36">
        <w:rPr>
          <w:rFonts w:ascii="Times New Roman" w:hAnsi="Times New Roman"/>
        </w:rPr>
        <w:t xml:space="preserve"> </w:t>
      </w:r>
      <w:r w:rsidRPr="00DC4D66">
        <w:rPr>
          <w:rFonts w:ascii="Times New Roman" w:hAnsi="Times New Roman"/>
        </w:rPr>
        <w:t>For sources see Appendix A2</w:t>
      </w:r>
    </w:p>
  </w:footnote>
  <w:footnote w:id="5">
    <w:p w:rsidR="00C92CD6" w:rsidRPr="00085344" w:rsidRDefault="00C92CD6" w:rsidP="00C92CD6">
      <w:pPr>
        <w:pStyle w:val="FootnoteText"/>
        <w:rPr>
          <w:rFonts w:ascii="Times New Roman" w:hAnsi="Times New Roman"/>
        </w:rPr>
      </w:pPr>
      <w:r w:rsidRPr="00085344">
        <w:rPr>
          <w:rStyle w:val="FootnoteReference"/>
          <w:rFonts w:ascii="Times New Roman" w:hAnsi="Times New Roman"/>
        </w:rPr>
        <w:footnoteRef/>
      </w:r>
      <w:r w:rsidRPr="00085344">
        <w:rPr>
          <w:rFonts w:ascii="Times New Roman" w:hAnsi="Times New Roman"/>
        </w:rPr>
        <w:t xml:space="preserve"> The value of current exports deflated by the price of imports, which was then dived by each country’s population (Prados de la Escosura 2011: 14).</w:t>
      </w:r>
    </w:p>
  </w:footnote>
  <w:footnote w:id="6">
    <w:p w:rsidR="00C92CD6" w:rsidRPr="00642423" w:rsidRDefault="00C92CD6" w:rsidP="00C92CD6">
      <w:pPr>
        <w:pStyle w:val="FootnoteText"/>
        <w:jc w:val="both"/>
        <w:rPr>
          <w:rFonts w:ascii="Times New Roman" w:hAnsi="Times New Roman"/>
        </w:rPr>
      </w:pPr>
      <w:r w:rsidRPr="00FD3097">
        <w:rPr>
          <w:rStyle w:val="FootnoteReference"/>
          <w:rFonts w:ascii="Times New Roman" w:hAnsi="Times New Roman"/>
        </w:rPr>
        <w:footnoteRef/>
      </w:r>
      <w:r w:rsidRPr="00FD3097">
        <w:rPr>
          <w:rFonts w:ascii="Times New Roman" w:hAnsi="Times New Roman"/>
        </w:rPr>
        <w:t xml:space="preserve"> We estimated smaller differences between </w:t>
      </w:r>
      <w:smartTag w:uri="urn:schemas-microsoft-com:office:smarttags" w:element="country-region">
        <w:smartTag w:uri="urn:schemas-microsoft-com:office:smarttags" w:element="place">
          <w:r w:rsidRPr="00FD3097">
            <w:rPr>
              <w:rFonts w:ascii="Times New Roman" w:hAnsi="Times New Roman"/>
            </w:rPr>
            <w:t>Italy</w:t>
          </w:r>
        </w:smartTag>
      </w:smartTag>
      <w:r w:rsidRPr="00FD3097">
        <w:rPr>
          <w:rFonts w:ascii="Times New Roman" w:hAnsi="Times New Roman"/>
        </w:rPr>
        <w:t xml:space="preserve"> and the rest of the empire than Maddison did (see Maddison 2007) who assumed that Italian GDP per capita was about twice the level of the other provinces. Italy profited from large inflows of taxes (Rome’s bread supply came from agricultural surpluses produced and taxed in Egypt) which implies that differences in real incomes were probably much larger than of real output per capita on which we concentrate here; cf. </w:t>
      </w:r>
      <w:r w:rsidRPr="00FD3097">
        <w:rPr>
          <w:rFonts w:ascii="Times New Roman" w:hAnsi="Times New Roman"/>
          <w:lang w:val="en-GB"/>
        </w:rPr>
        <w:t>Hopkins (1980).</w:t>
      </w:r>
      <w:r w:rsidRPr="00642423">
        <w:rPr>
          <w:rFonts w:ascii="Times New Roman" w:hAnsi="Times New Roman"/>
          <w:lang w:val="en-GB"/>
        </w:rPr>
        <w:t xml:space="preserve"> </w:t>
      </w:r>
      <w:r w:rsidRPr="00642423">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A2081"/>
    <w:multiLevelType w:val="hybridMultilevel"/>
    <w:tmpl w:val="39EA24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B16BDE"/>
    <w:multiLevelType w:val="hybridMultilevel"/>
    <w:tmpl w:val="DAD4B7B4"/>
    <w:lvl w:ilvl="0" w:tplc="7A0C98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A9"/>
    <w:rsid w:val="0001485D"/>
    <w:rsid w:val="00073BA9"/>
    <w:rsid w:val="002004D8"/>
    <w:rsid w:val="00202FF4"/>
    <w:rsid w:val="0022249F"/>
    <w:rsid w:val="003132A6"/>
    <w:rsid w:val="00331DB6"/>
    <w:rsid w:val="0049543E"/>
    <w:rsid w:val="004E371B"/>
    <w:rsid w:val="005D7DE0"/>
    <w:rsid w:val="00780B6A"/>
    <w:rsid w:val="007A56C1"/>
    <w:rsid w:val="008274E7"/>
    <w:rsid w:val="00852AD7"/>
    <w:rsid w:val="008C2A88"/>
    <w:rsid w:val="008D7E0B"/>
    <w:rsid w:val="009950B1"/>
    <w:rsid w:val="00AE4E50"/>
    <w:rsid w:val="00B04827"/>
    <w:rsid w:val="00B3309F"/>
    <w:rsid w:val="00B53929"/>
    <w:rsid w:val="00BA2BA6"/>
    <w:rsid w:val="00BA77C4"/>
    <w:rsid w:val="00BC311F"/>
    <w:rsid w:val="00BD11A5"/>
    <w:rsid w:val="00C04629"/>
    <w:rsid w:val="00C16C16"/>
    <w:rsid w:val="00C92CD6"/>
    <w:rsid w:val="00CB59EE"/>
    <w:rsid w:val="00CE352A"/>
    <w:rsid w:val="00D27CD2"/>
    <w:rsid w:val="00D943F7"/>
    <w:rsid w:val="00DF2464"/>
    <w:rsid w:val="00E3589C"/>
    <w:rsid w:val="00E42E4F"/>
    <w:rsid w:val="00E471A7"/>
    <w:rsid w:val="00FF17E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20490CC-DBBF-4BA8-8E6D-C56093E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C1"/>
  </w:style>
  <w:style w:type="paragraph" w:styleId="Heading1">
    <w:name w:val="heading 1"/>
    <w:basedOn w:val="Normal"/>
    <w:next w:val="Normal"/>
    <w:link w:val="Heading1Char"/>
    <w:qFormat/>
    <w:rsid w:val="00FF17ED"/>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A9"/>
    <w:rPr>
      <w:color w:val="0000FF" w:themeColor="hyperlink"/>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sid w:val="00C04629"/>
    <w:rPr>
      <w:sz w:val="16"/>
      <w:szCs w:val="16"/>
    </w:rPr>
  </w:style>
  <w:style w:type="paragraph" w:styleId="CommentText">
    <w:name w:val="annotation text"/>
    <w:basedOn w:val="Normal"/>
    <w:link w:val="CommentTextChar"/>
    <w:uiPriority w:val="99"/>
    <w:semiHidden/>
    <w:unhideWhenUsed/>
    <w:rsid w:val="00C04629"/>
    <w:rPr>
      <w:sz w:val="20"/>
      <w:szCs w:val="20"/>
    </w:rPr>
  </w:style>
  <w:style w:type="character" w:customStyle="1" w:styleId="CommentTextChar">
    <w:name w:val="Comment Text Char"/>
    <w:basedOn w:val="DefaultParagraphFont"/>
    <w:link w:val="CommentText"/>
    <w:uiPriority w:val="99"/>
    <w:semiHidden/>
    <w:rsid w:val="00C04629"/>
    <w:rPr>
      <w:sz w:val="20"/>
      <w:szCs w:val="20"/>
    </w:rPr>
  </w:style>
  <w:style w:type="paragraph" w:styleId="CommentSubject">
    <w:name w:val="annotation subject"/>
    <w:basedOn w:val="CommentText"/>
    <w:next w:val="CommentText"/>
    <w:link w:val="CommentSubjectChar"/>
    <w:uiPriority w:val="99"/>
    <w:semiHidden/>
    <w:unhideWhenUsed/>
    <w:rsid w:val="00C04629"/>
    <w:rPr>
      <w:b/>
      <w:bCs/>
    </w:rPr>
  </w:style>
  <w:style w:type="character" w:customStyle="1" w:styleId="CommentSubjectChar">
    <w:name w:val="Comment Subject Char"/>
    <w:basedOn w:val="CommentTextChar"/>
    <w:link w:val="CommentSubject"/>
    <w:uiPriority w:val="99"/>
    <w:semiHidden/>
    <w:rsid w:val="00C04629"/>
    <w:rPr>
      <w:b/>
      <w:bCs/>
      <w:sz w:val="20"/>
      <w:szCs w:val="20"/>
    </w:rPr>
  </w:style>
  <w:style w:type="paragraph" w:styleId="BalloonText">
    <w:name w:val="Balloon Text"/>
    <w:basedOn w:val="Normal"/>
    <w:link w:val="BalloonTextChar"/>
    <w:uiPriority w:val="99"/>
    <w:semiHidden/>
    <w:unhideWhenUsed/>
    <w:rsid w:val="00C04629"/>
    <w:rPr>
      <w:rFonts w:ascii="Tahoma" w:hAnsi="Tahoma" w:cs="Tahoma"/>
      <w:sz w:val="16"/>
      <w:szCs w:val="16"/>
    </w:rPr>
  </w:style>
  <w:style w:type="character" w:customStyle="1" w:styleId="BalloonTextChar">
    <w:name w:val="Balloon Text Char"/>
    <w:basedOn w:val="DefaultParagraphFont"/>
    <w:link w:val="BalloonText"/>
    <w:uiPriority w:val="99"/>
    <w:semiHidden/>
    <w:rsid w:val="00C04629"/>
    <w:rPr>
      <w:rFonts w:ascii="Tahoma" w:hAnsi="Tahoma" w:cs="Tahoma"/>
      <w:sz w:val="16"/>
      <w:szCs w:val="16"/>
    </w:rPr>
  </w:style>
  <w:style w:type="character" w:styleId="FollowedHyperlink">
    <w:name w:val="FollowedHyperlink"/>
    <w:basedOn w:val="DefaultParagraphFont"/>
    <w:uiPriority w:val="99"/>
    <w:semiHidden/>
    <w:unhideWhenUsed/>
    <w:rsid w:val="008274E7"/>
    <w:rPr>
      <w:color w:val="800080" w:themeColor="followedHyperlink"/>
      <w:u w:val="single"/>
    </w:rPr>
  </w:style>
  <w:style w:type="character" w:customStyle="1" w:styleId="Heading1Char">
    <w:name w:val="Heading 1 Char"/>
    <w:basedOn w:val="DefaultParagraphFont"/>
    <w:link w:val="Heading1"/>
    <w:rsid w:val="00FF17ED"/>
    <w:rPr>
      <w:rFonts w:ascii="Cambria" w:eastAsia="Times New Roman" w:hAnsi="Cambria" w:cs="Times New Roman"/>
      <w:b/>
      <w:bCs/>
      <w:kern w:val="32"/>
      <w:sz w:val="32"/>
      <w:szCs w:val="32"/>
      <w:lang w:val="en-US"/>
    </w:rPr>
  </w:style>
  <w:style w:type="paragraph" w:styleId="NormalWeb">
    <w:name w:val="Normal (Web)"/>
    <w:basedOn w:val="Normal"/>
    <w:rsid w:val="00FF17ED"/>
    <w:pPr>
      <w:spacing w:after="120" w:line="312" w:lineRule="atLeast"/>
    </w:pPr>
    <w:rPr>
      <w:rFonts w:ascii="Times New Roman" w:eastAsia="Times New Roman" w:hAnsi="Times New Roman" w:cs="Times New Roman"/>
      <w:sz w:val="24"/>
      <w:szCs w:val="24"/>
      <w:lang w:val="en-US"/>
    </w:rPr>
  </w:style>
  <w:style w:type="character" w:styleId="Emphasis">
    <w:name w:val="Emphasis"/>
    <w:uiPriority w:val="20"/>
    <w:qFormat/>
    <w:rsid w:val="00FF17ED"/>
    <w:rPr>
      <w:i/>
      <w:iCs/>
    </w:rPr>
  </w:style>
  <w:style w:type="paragraph" w:styleId="NoSpacing">
    <w:name w:val="No Spacing"/>
    <w:uiPriority w:val="1"/>
    <w:qFormat/>
    <w:rsid w:val="00FF17ED"/>
    <w:rPr>
      <w:rFonts w:ascii="Calibri" w:eastAsia="Calibri" w:hAnsi="Calibri" w:cs="Times New Roman"/>
      <w:lang w:val="en-US"/>
    </w:rPr>
  </w:style>
  <w:style w:type="character" w:styleId="HTMLCite">
    <w:name w:val="HTML Cite"/>
    <w:uiPriority w:val="99"/>
    <w:unhideWhenUsed/>
    <w:rsid w:val="00FF17ED"/>
    <w:rPr>
      <w:i/>
      <w:iCs/>
    </w:rPr>
  </w:style>
  <w:style w:type="character" w:customStyle="1" w:styleId="slug-pub-date">
    <w:name w:val="slug-pub-date"/>
    <w:rsid w:val="00FF17ED"/>
  </w:style>
  <w:style w:type="character" w:customStyle="1" w:styleId="slug-vol">
    <w:name w:val="slug-vol"/>
    <w:rsid w:val="00FF17ED"/>
  </w:style>
  <w:style w:type="character" w:customStyle="1" w:styleId="slug-issue">
    <w:name w:val="slug-issue"/>
    <w:rsid w:val="00FF17ED"/>
  </w:style>
  <w:style w:type="character" w:customStyle="1" w:styleId="slug-pages">
    <w:name w:val="slug-pages"/>
    <w:rsid w:val="00FF17ED"/>
  </w:style>
  <w:style w:type="paragraph" w:styleId="FootnoteText">
    <w:name w:val="footnote text"/>
    <w:basedOn w:val="Normal"/>
    <w:link w:val="FootnoteTextChar"/>
    <w:uiPriority w:val="99"/>
    <w:rsid w:val="00CE352A"/>
    <w:rPr>
      <w:rFonts w:ascii="Calibri" w:eastAsia="PMingLiU" w:hAnsi="Calibri" w:cs="Times New Roman"/>
      <w:sz w:val="20"/>
      <w:szCs w:val="20"/>
      <w:lang w:val="en-US"/>
    </w:rPr>
  </w:style>
  <w:style w:type="character" w:customStyle="1" w:styleId="FootnoteTextChar">
    <w:name w:val="Footnote Text Char"/>
    <w:basedOn w:val="DefaultParagraphFont"/>
    <w:link w:val="FootnoteText"/>
    <w:uiPriority w:val="99"/>
    <w:rsid w:val="00CE352A"/>
    <w:rPr>
      <w:rFonts w:ascii="Calibri" w:eastAsia="PMingLiU" w:hAnsi="Calibri" w:cs="Times New Roman"/>
      <w:sz w:val="20"/>
      <w:szCs w:val="20"/>
      <w:lang w:val="en-US"/>
    </w:rPr>
  </w:style>
  <w:style w:type="character" w:styleId="FootnoteReference">
    <w:name w:val="footnote reference"/>
    <w:uiPriority w:val="99"/>
    <w:rsid w:val="00CE35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scibooks.com/economics/78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6044</Words>
  <Characters>34452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IISG</Company>
  <LinksUpToDate>false</LinksUpToDate>
  <CharactersWithSpaces>40416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IISG-User</dc:creator>
  <cp:lastModifiedBy>Bas</cp:lastModifiedBy>
  <cp:revision>3</cp:revision>
  <dcterms:created xsi:type="dcterms:W3CDTF">2014-05-29T11:24:00Z</dcterms:created>
  <dcterms:modified xsi:type="dcterms:W3CDTF">2014-05-29T11:24:00Z</dcterms:modified>
</cp:coreProperties>
</file>